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5C21EB" w14:textId="77777777" w:rsidR="0023480E" w:rsidRDefault="0023480E" w:rsidP="00E676DE">
      <w:pPr>
        <w:pStyle w:val="Title"/>
      </w:pPr>
    </w:p>
    <w:p w14:paraId="79F99D6E" w14:textId="78197859" w:rsidR="0023480E" w:rsidRDefault="0023480E" w:rsidP="0023480E">
      <w:pPr>
        <w:jc w:val="center"/>
      </w:pPr>
    </w:p>
    <w:p w14:paraId="042AE40C" w14:textId="27FA3F6D" w:rsidR="0023480E" w:rsidRDefault="0023480E" w:rsidP="0023480E">
      <w:pPr>
        <w:jc w:val="center"/>
      </w:pPr>
    </w:p>
    <w:p w14:paraId="1A211D3F" w14:textId="77777777" w:rsidR="0023480E" w:rsidRDefault="0023480E" w:rsidP="0023480E">
      <w:pPr>
        <w:jc w:val="center"/>
      </w:pPr>
    </w:p>
    <w:p w14:paraId="245CF29F" w14:textId="77777777" w:rsidR="0023480E" w:rsidRPr="0023480E" w:rsidRDefault="0023480E" w:rsidP="0023480E">
      <w:pPr>
        <w:jc w:val="center"/>
      </w:pPr>
    </w:p>
    <w:p w14:paraId="22AC661B" w14:textId="1CD479EE" w:rsidR="00BC374D" w:rsidRPr="00E676DE" w:rsidRDefault="0023480E" w:rsidP="00E676DE">
      <w:pPr>
        <w:pStyle w:val="Title"/>
        <w:rPr>
          <w:sz w:val="62"/>
          <w:szCs w:val="62"/>
        </w:rPr>
      </w:pPr>
      <w:r w:rsidRPr="00E676DE">
        <w:rPr>
          <w:sz w:val="62"/>
          <w:szCs w:val="62"/>
        </w:rPr>
        <w:t>Review</w:t>
      </w:r>
      <w:r w:rsidRPr="00E676DE">
        <w:rPr>
          <w:i w:val="0"/>
          <w:sz w:val="62"/>
          <w:szCs w:val="62"/>
        </w:rPr>
        <w:t>:</w:t>
      </w:r>
      <w:r w:rsidRPr="00E676DE">
        <w:rPr>
          <w:sz w:val="62"/>
          <w:szCs w:val="62"/>
        </w:rPr>
        <w:t xml:space="preserve"> </w:t>
      </w:r>
      <w:r w:rsidRPr="00E676DE">
        <w:rPr>
          <w:i w:val="0"/>
          <w:sz w:val="62"/>
          <w:szCs w:val="62"/>
        </w:rPr>
        <w:t>Collaborative Anthropology</w:t>
      </w:r>
    </w:p>
    <w:p w14:paraId="1E5673D5" w14:textId="75A67A15" w:rsidR="0023480E" w:rsidRDefault="0023480E" w:rsidP="0023480E">
      <w:pPr>
        <w:jc w:val="center"/>
      </w:pPr>
    </w:p>
    <w:p w14:paraId="60C4BC1C" w14:textId="77777777" w:rsidR="0023480E" w:rsidRPr="0023480E" w:rsidRDefault="0023480E" w:rsidP="0023480E">
      <w:pPr>
        <w:jc w:val="center"/>
        <w:rPr>
          <w:i/>
          <w:sz w:val="32"/>
        </w:rPr>
      </w:pPr>
      <w:r w:rsidRPr="0023480E">
        <w:rPr>
          <w:i/>
          <w:sz w:val="32"/>
        </w:rPr>
        <w:t xml:space="preserve">Alessandra Prunotto </w:t>
      </w:r>
    </w:p>
    <w:p w14:paraId="2671ED72" w14:textId="77777777" w:rsidR="0023480E" w:rsidRDefault="0023480E" w:rsidP="0023480E">
      <w:pPr>
        <w:jc w:val="center"/>
      </w:pPr>
    </w:p>
    <w:p w14:paraId="7616691A" w14:textId="77777777" w:rsidR="0023480E" w:rsidRDefault="0023480E" w:rsidP="0023480E">
      <w:pPr>
        <w:jc w:val="center"/>
      </w:pPr>
    </w:p>
    <w:p w14:paraId="0D9AC616" w14:textId="77777777" w:rsidR="0023480E" w:rsidRDefault="0023480E" w:rsidP="0023480E">
      <w:pPr>
        <w:jc w:val="center"/>
      </w:pPr>
    </w:p>
    <w:p w14:paraId="7FC060A1" w14:textId="77777777" w:rsidR="0023480E" w:rsidRDefault="0023480E" w:rsidP="0023480E">
      <w:pPr>
        <w:jc w:val="center"/>
      </w:pPr>
    </w:p>
    <w:p w14:paraId="6DBFC9F2" w14:textId="77777777" w:rsidR="0023480E" w:rsidRDefault="0023480E" w:rsidP="0023480E">
      <w:pPr>
        <w:jc w:val="center"/>
      </w:pPr>
    </w:p>
    <w:p w14:paraId="0592FB07" w14:textId="77777777" w:rsidR="0023480E" w:rsidRDefault="0023480E" w:rsidP="0023480E">
      <w:pPr>
        <w:jc w:val="center"/>
      </w:pPr>
    </w:p>
    <w:p w14:paraId="20DDF487" w14:textId="77777777" w:rsidR="0023480E" w:rsidRDefault="0023480E" w:rsidP="0023480E">
      <w:pPr>
        <w:jc w:val="center"/>
      </w:pPr>
    </w:p>
    <w:p w14:paraId="129FB54D" w14:textId="77777777" w:rsidR="0023480E" w:rsidRDefault="0023480E" w:rsidP="0023480E">
      <w:pPr>
        <w:jc w:val="center"/>
      </w:pPr>
    </w:p>
    <w:p w14:paraId="1DE0E062" w14:textId="77777777" w:rsidR="0023480E" w:rsidRDefault="0023480E" w:rsidP="0023480E">
      <w:pPr>
        <w:jc w:val="center"/>
      </w:pPr>
    </w:p>
    <w:p w14:paraId="23D7B792" w14:textId="77777777" w:rsidR="0023480E" w:rsidRDefault="0023480E" w:rsidP="0023480E">
      <w:pPr>
        <w:jc w:val="center"/>
      </w:pPr>
    </w:p>
    <w:p w14:paraId="0CCDD6D4" w14:textId="7935E075" w:rsidR="0023480E" w:rsidRDefault="0023480E" w:rsidP="0023480E">
      <w:pPr>
        <w:jc w:val="center"/>
      </w:pPr>
    </w:p>
    <w:p w14:paraId="22F0E2B7" w14:textId="0E3643DA" w:rsidR="0023480E" w:rsidRDefault="0023480E" w:rsidP="0023480E">
      <w:pPr>
        <w:jc w:val="center"/>
      </w:pPr>
    </w:p>
    <w:p w14:paraId="52D5AC9B" w14:textId="6A4B88CD" w:rsidR="0023480E" w:rsidRDefault="0023480E" w:rsidP="0023480E">
      <w:pPr>
        <w:jc w:val="center"/>
      </w:pPr>
    </w:p>
    <w:p w14:paraId="6ECC2026" w14:textId="77777777" w:rsidR="0023480E" w:rsidRDefault="0023480E" w:rsidP="0023480E">
      <w:pPr>
        <w:jc w:val="center"/>
      </w:pPr>
    </w:p>
    <w:p w14:paraId="446CFD87" w14:textId="77777777" w:rsidR="0023480E" w:rsidRDefault="0023480E" w:rsidP="0023480E">
      <w:pPr>
        <w:jc w:val="center"/>
      </w:pPr>
    </w:p>
    <w:p w14:paraId="5515FB49" w14:textId="77777777" w:rsidR="0023480E" w:rsidRDefault="0023480E" w:rsidP="0023480E">
      <w:pPr>
        <w:jc w:val="center"/>
      </w:pPr>
    </w:p>
    <w:p w14:paraId="4B262F3F" w14:textId="77777777" w:rsidR="0023480E" w:rsidRDefault="0023480E" w:rsidP="0023480E">
      <w:pPr>
        <w:jc w:val="center"/>
      </w:pPr>
    </w:p>
    <w:p w14:paraId="02368DE7" w14:textId="77777777" w:rsidR="0023480E" w:rsidRDefault="0023480E" w:rsidP="0023480E">
      <w:pPr>
        <w:jc w:val="center"/>
      </w:pPr>
    </w:p>
    <w:p w14:paraId="5D440D13" w14:textId="01EE9689" w:rsidR="0023480E" w:rsidRDefault="0023480E" w:rsidP="0023480E">
      <w:pPr>
        <w:jc w:val="center"/>
      </w:pPr>
      <w:r>
        <w:t xml:space="preserve">Student #762015 </w:t>
      </w:r>
    </w:p>
    <w:p w14:paraId="139059F4" w14:textId="674EC670" w:rsidR="0023480E" w:rsidRDefault="0023480E" w:rsidP="0023480E">
      <w:pPr>
        <w:jc w:val="center"/>
      </w:pPr>
      <w:r>
        <w:t>Supervised by A/Prof. Monica Minnegal</w:t>
      </w:r>
    </w:p>
    <w:p w14:paraId="519B47EF" w14:textId="0F60BB63" w:rsidR="003A6900" w:rsidRDefault="0023480E" w:rsidP="0023480E">
      <w:pPr>
        <w:jc w:val="center"/>
        <w:sectPr w:rsidR="003A6900">
          <w:pgSz w:w="11906" w:h="16838"/>
          <w:pgMar w:top="1440" w:right="1440" w:bottom="1440" w:left="1440" w:header="708" w:footer="708" w:gutter="0"/>
          <w:cols w:space="708"/>
          <w:docGrid w:linePitch="360"/>
        </w:sectPr>
      </w:pPr>
      <w:r>
        <w:t>5</w:t>
      </w:r>
      <w:r w:rsidR="00CF563D">
        <w:t>4</w:t>
      </w:r>
      <w:r w:rsidR="00E8436F">
        <w:t>8</w:t>
      </w:r>
      <w:r w:rsidR="00F16646">
        <w:t>0</w:t>
      </w:r>
      <w:r>
        <w:t xml:space="preserve"> words </w:t>
      </w:r>
    </w:p>
    <w:p w14:paraId="6FF0D752" w14:textId="34DFF76C" w:rsidR="00543A2F" w:rsidRPr="00D96ABC" w:rsidRDefault="00543A2F" w:rsidP="000464F5">
      <w:pPr>
        <w:pStyle w:val="Heading1"/>
        <w:rPr>
          <w:i/>
          <w:color w:val="auto"/>
          <w:sz w:val="28"/>
        </w:rPr>
      </w:pPr>
      <w:r w:rsidRPr="00D96ABC">
        <w:rPr>
          <w:i/>
          <w:color w:val="auto"/>
          <w:sz w:val="28"/>
        </w:rPr>
        <w:lastRenderedPageBreak/>
        <w:t xml:space="preserve">Introduction: collaborative anthropology as engaged anthropology </w:t>
      </w:r>
    </w:p>
    <w:p w14:paraId="0F23BA30" w14:textId="77777777" w:rsidR="000464F5" w:rsidRPr="000464F5" w:rsidRDefault="000464F5" w:rsidP="000464F5">
      <w:pPr>
        <w:pStyle w:val="NoSpacing"/>
      </w:pPr>
    </w:p>
    <w:p w14:paraId="79028EE0" w14:textId="5BA8A5E3" w:rsidR="00E676DE" w:rsidRDefault="00E676DE" w:rsidP="00E676DE">
      <w:pPr>
        <w:spacing w:line="360" w:lineRule="auto"/>
        <w:jc w:val="both"/>
      </w:pPr>
      <w:r>
        <w:t xml:space="preserve">Over the last two decades, scholars have increasingly promoted a more “engaged” or “public” anthropology, a discipline that is ‘relevant and useful’ (Kirsch 2018, p. 1) beyond the cloisters of the academy. An engaged anthropology calls for practitioners to take responsibility to bring about positive social change and to address public issues through their research, teaching and communication (Beck &amp; Maida 2013; Kirsch 2018; Lassiter 2005a; Low &amp; Merry 2010). As Beck and Maida (2013, p. 1) note, ‘an engaged stance moves the application of anthropological theory, methods and practice further along towards action and activism’. Whilst there are already branches of anthropology that are engaged by nature, such as applied, action and activist anthropology, these sub-disciplines still have a “second-class status” in the academy (Kirsch 2018). Calls for an engaged anthropology therefore attempt to ‘move engagement closer to the centre of the discipline’ (Low and Merry 2010; see also Lassiter 2005a), encouraging academics to come down from the proverbial “ivory tower”. </w:t>
      </w:r>
    </w:p>
    <w:p w14:paraId="3C5CCB3C" w14:textId="7988DAF7" w:rsidR="00E676DE" w:rsidRDefault="00E676DE" w:rsidP="00021AAC">
      <w:pPr>
        <w:spacing w:line="360" w:lineRule="auto"/>
        <w:jc w:val="both"/>
      </w:pPr>
      <w:r>
        <w:t xml:space="preserve">Whilst there are various ways for anthropologists to engage with their publics, collaborative forms of research pose a particularly meaningful strategy to do so (Beck &amp; Maida 2013; Kirsch 2018; Lassiter 2005a; Lassiter 2008; Low &amp; Merry 2010; Rappaport 2008). Collaborative anthropology is generally understood to </w:t>
      </w:r>
      <w:r w:rsidR="00021AAC">
        <w:t>mean</w:t>
      </w:r>
      <w:r>
        <w:t xml:space="preserve"> research </w:t>
      </w:r>
      <w:r w:rsidR="00021AAC">
        <w:t>in which members of the group being studied</w:t>
      </w:r>
      <w:r>
        <w:t xml:space="preserve"> have significant influence over the research agenda, methods, analysis, and products</w:t>
      </w:r>
      <w:r w:rsidR="00021AAC">
        <w:t xml:space="preserve">, </w:t>
      </w:r>
      <w:r w:rsidR="00F51E22">
        <w:t xml:space="preserve">and are </w:t>
      </w:r>
      <w:r w:rsidR="00021AAC">
        <w:t xml:space="preserve">therefore involved as collaborators and consultants, rather than merely as research “subjects”. </w:t>
      </w:r>
      <w:r>
        <w:t xml:space="preserve"> This paper reviews the literature on collaborative anthropology as a methodologically significant approach to the research encounter. The </w:t>
      </w:r>
      <w:r w:rsidR="00CB1227">
        <w:t>shape</w:t>
      </w:r>
      <w:r>
        <w:t xml:space="preserve"> that research relationships take is paramount because it informs the kind of knowledge that can be created, with telling political implications</w:t>
      </w:r>
      <w:r w:rsidR="00CB1227">
        <w:t xml:space="preserve"> for its application. </w:t>
      </w:r>
    </w:p>
    <w:p w14:paraId="60937F45" w14:textId="4C6AC267" w:rsidR="00CB1227" w:rsidRDefault="00CB1227" w:rsidP="009403F6">
      <w:pPr>
        <w:spacing w:line="360" w:lineRule="auto"/>
        <w:jc w:val="both"/>
      </w:pPr>
      <w:r>
        <w:t xml:space="preserve">In the following, I situate the “collaborative turn” in anthropology within its historical and theoretical context, outlining how it built on feminist research methodologies and postmodern textual critiques to push back against colonial modes of research. Subsequently, I identify common </w:t>
      </w:r>
      <w:r w:rsidR="001D6FCE">
        <w:t>principles</w:t>
      </w:r>
      <w:r w:rsidR="004217B3">
        <w:t xml:space="preserve"> across the literature that define</w:t>
      </w:r>
      <w:r>
        <w:t xml:space="preserve"> </w:t>
      </w:r>
      <w:r w:rsidR="001D6FCE">
        <w:t xml:space="preserve">scholarly </w:t>
      </w:r>
      <w:r w:rsidR="004217B3">
        <w:t>visions of</w:t>
      </w:r>
      <w:r>
        <w:t xml:space="preserve"> a collaborative anthropology. In particular, I show how collaboration has been framed as an ethical commitment to the decolonisation of the discipline,</w:t>
      </w:r>
      <w:r w:rsidRPr="00CB1227">
        <w:t xml:space="preserve"> </w:t>
      </w:r>
      <w:r>
        <w:t xml:space="preserve">with the ultimate aim of producing knowledge </w:t>
      </w:r>
      <w:r>
        <w:rPr>
          <w:i/>
        </w:rPr>
        <w:t xml:space="preserve">for </w:t>
      </w:r>
      <w:r>
        <w:t>the community, rather than for consumption elsewhere</w:t>
      </w:r>
      <w:r w:rsidR="007B0867">
        <w:t>,</w:t>
      </w:r>
      <w:r w:rsidR="00BC1B3A">
        <w:t xml:space="preserve"> as in the colonial mode</w:t>
      </w:r>
      <w:r>
        <w:t xml:space="preserve">. I argue that under this </w:t>
      </w:r>
      <w:r w:rsidR="00E4580E">
        <w:t xml:space="preserve">collaborative </w:t>
      </w:r>
      <w:r>
        <w:t>model, researchers strive to achieve equity in the relationships with their consultants</w:t>
      </w:r>
      <w:r w:rsidR="001D6FCE">
        <w:t xml:space="preserve">, </w:t>
      </w:r>
      <w:r>
        <w:t>giv</w:t>
      </w:r>
      <w:r w:rsidR="001D6FCE">
        <w:t>ing</w:t>
      </w:r>
      <w:r>
        <w:t xml:space="preserve"> up any absolute authority </w:t>
      </w:r>
      <w:r w:rsidR="00E4580E">
        <w:t xml:space="preserve">they may have </w:t>
      </w:r>
      <w:r>
        <w:t>over the project through the principles of co-design, co-analysis and an emphasis on process over product.</w:t>
      </w:r>
      <w:r w:rsidR="001D6FCE">
        <w:t xml:space="preserve"> </w:t>
      </w:r>
      <w:r w:rsidR="00562B91">
        <w:t>However, i</w:t>
      </w:r>
      <w:r w:rsidR="001D6FCE">
        <w:t xml:space="preserve">n the final section, I </w:t>
      </w:r>
      <w:r w:rsidR="001D6FCE">
        <w:lastRenderedPageBreak/>
        <w:t xml:space="preserve">suggest </w:t>
      </w:r>
      <w:r w:rsidR="00562B91">
        <w:t xml:space="preserve">that </w:t>
      </w:r>
      <w:r w:rsidR="009403F6">
        <w:t xml:space="preserve">visions of collaboration as an ethical commitment </w:t>
      </w:r>
      <w:r w:rsidR="006C146B">
        <w:t xml:space="preserve">reproduce the very dynamics of colonial power relations that </w:t>
      </w:r>
      <w:r w:rsidR="00562B91">
        <w:t xml:space="preserve">these </w:t>
      </w:r>
      <w:r w:rsidR="006C146B">
        <w:t>anthropologists attempt to resist</w:t>
      </w:r>
      <w:r w:rsidR="009403F6">
        <w:t xml:space="preserve"> (</w:t>
      </w:r>
      <w:proofErr w:type="spellStart"/>
      <w:r w:rsidR="009403F6">
        <w:t>Strohm</w:t>
      </w:r>
      <w:proofErr w:type="spellEnd"/>
      <w:r w:rsidR="009403F6">
        <w:t xml:space="preserve"> 2012)</w:t>
      </w:r>
      <w:r w:rsidR="006C146B">
        <w:t xml:space="preserve">. </w:t>
      </w:r>
      <w:r w:rsidR="009403F6">
        <w:t>I illustrate through the case of Holmes and Marcus (2006) how</w:t>
      </w:r>
      <w:r w:rsidR="00E4580E">
        <w:t>,</w:t>
      </w:r>
      <w:r w:rsidR="009403F6">
        <w:t xml:space="preserve"> </w:t>
      </w:r>
      <w:r w:rsidR="00E4580E">
        <w:t xml:space="preserve">instead, </w:t>
      </w:r>
      <w:r w:rsidR="009403F6">
        <w:t xml:space="preserve">the assumption of equality in collaboration </w:t>
      </w:r>
      <w:r w:rsidR="006C146B">
        <w:t>give</w:t>
      </w:r>
      <w:r w:rsidR="009403F6">
        <w:t xml:space="preserve">s </w:t>
      </w:r>
      <w:r w:rsidR="006C146B">
        <w:t>rise to a true politics</w:t>
      </w:r>
      <w:r w:rsidR="009403F6">
        <w:t xml:space="preserve"> that can </w:t>
      </w:r>
      <w:r w:rsidR="00C311C1">
        <w:t xml:space="preserve">more effectively achieve anthropologists’ goals of decolonisation </w:t>
      </w:r>
      <w:r w:rsidR="009403F6">
        <w:t>(</w:t>
      </w:r>
      <w:proofErr w:type="spellStart"/>
      <w:r w:rsidR="009403F6">
        <w:t>Strohm</w:t>
      </w:r>
      <w:proofErr w:type="spellEnd"/>
      <w:r w:rsidR="009403F6">
        <w:t xml:space="preserve"> 2012). </w:t>
      </w:r>
    </w:p>
    <w:p w14:paraId="0C5AF471" w14:textId="77777777" w:rsidR="001D7958" w:rsidRDefault="001D7958" w:rsidP="00BE3CC8"/>
    <w:p w14:paraId="01B1D62A" w14:textId="2446D481" w:rsidR="0023480E" w:rsidRPr="00D96ABC" w:rsidRDefault="00D96ABC" w:rsidP="00E676DE">
      <w:pPr>
        <w:rPr>
          <w:i/>
          <w:sz w:val="28"/>
        </w:rPr>
      </w:pPr>
      <w:r w:rsidRPr="00D96ABC">
        <w:rPr>
          <w:i/>
          <w:sz w:val="28"/>
        </w:rPr>
        <w:t xml:space="preserve">The collaborative turn on </w:t>
      </w:r>
      <w:r>
        <w:rPr>
          <w:i/>
          <w:sz w:val="28"/>
        </w:rPr>
        <w:t>anthropology’s</w:t>
      </w:r>
      <w:r w:rsidRPr="00D96ABC">
        <w:rPr>
          <w:i/>
          <w:sz w:val="28"/>
        </w:rPr>
        <w:t xml:space="preserve"> path to decolonisation</w:t>
      </w:r>
    </w:p>
    <w:p w14:paraId="67D29CC2" w14:textId="4C531747" w:rsidR="0023480E" w:rsidRDefault="0023480E" w:rsidP="001D7958">
      <w:pPr>
        <w:pStyle w:val="NoSpacing"/>
      </w:pPr>
    </w:p>
    <w:p w14:paraId="715A6E3A" w14:textId="083AD4AA" w:rsidR="00585EDD" w:rsidRDefault="00D96ABC" w:rsidP="00D96ABC">
      <w:pPr>
        <w:spacing w:line="360" w:lineRule="auto"/>
        <w:jc w:val="both"/>
      </w:pPr>
      <w:r w:rsidRPr="00D96ABC">
        <w:t xml:space="preserve">The collaborative turn is a continuation of the re-appraisal of colonial modes of research that has manifested itself through various theoretical currents since the mid-20th century. From its emergence as a discipline in the mid-19th century, anthropology has been associated with the colonial project of managing </w:t>
      </w:r>
      <w:r w:rsidR="00035D54">
        <w:t>i</w:t>
      </w:r>
      <w:r w:rsidRPr="00D96ABC">
        <w:t xml:space="preserve">ndigenous peoples </w:t>
      </w:r>
      <w:r>
        <w:t xml:space="preserve">for the exploitation of resources </w:t>
      </w:r>
      <w:r w:rsidRPr="00D96ABC">
        <w:t>(</w:t>
      </w:r>
      <w:proofErr w:type="spellStart"/>
      <w:r w:rsidRPr="00D96ABC">
        <w:t>Asad</w:t>
      </w:r>
      <w:proofErr w:type="spellEnd"/>
      <w:r w:rsidRPr="00D96ABC">
        <w:t xml:space="preserve"> 1973; Lewis 1973; Ribeiro 2014; </w:t>
      </w:r>
      <w:proofErr w:type="spellStart"/>
      <w:r w:rsidRPr="00D96ABC">
        <w:t>Trouillot</w:t>
      </w:r>
      <w:proofErr w:type="spellEnd"/>
      <w:r w:rsidRPr="00D96ABC">
        <w:t xml:space="preserve"> 2003).</w:t>
      </w:r>
      <w:r w:rsidR="00035D54">
        <w:t xml:space="preserve"> Working amidst the rapid economic and political ruptures of imperialist expansion, anthropologists directly and indirectly provided information to administrators that enabled them to manipulate indigenous subjects (Lewis 1973). This history has meant that anthropology </w:t>
      </w:r>
      <w:r w:rsidR="00035D54" w:rsidRPr="00FD320F">
        <w:t>‘has been accused of being an inherent tool of North Atlantic power in ways that no other discipline has been charged, as being a child of both colonialism and imperialism</w:t>
      </w:r>
      <w:r w:rsidR="00035D54">
        <w:t>’ (</w:t>
      </w:r>
      <w:proofErr w:type="spellStart"/>
      <w:r w:rsidR="00035D54">
        <w:t>Trouillot</w:t>
      </w:r>
      <w:proofErr w:type="spellEnd"/>
      <w:r w:rsidR="00035D54">
        <w:t xml:space="preserve"> 2003, p. 2).</w:t>
      </w:r>
      <w:r w:rsidR="001D7958">
        <w:t xml:space="preserve"> Anthropology is also unique in that during much of its early existence, its</w:t>
      </w:r>
      <w:r w:rsidR="007C62B1">
        <w:t xml:space="preserve"> entire</w:t>
      </w:r>
      <w:r w:rsidR="001D7958">
        <w:t xml:space="preserve"> </w:t>
      </w:r>
      <w:r w:rsidR="001D7958">
        <w:rPr>
          <w:i/>
        </w:rPr>
        <w:t xml:space="preserve">raison d’être </w:t>
      </w:r>
      <w:r w:rsidR="001D7958">
        <w:t xml:space="preserve">was to study </w:t>
      </w:r>
      <w:r w:rsidR="00585EDD">
        <w:t>those</w:t>
      </w:r>
      <w:r w:rsidR="001D7958">
        <w:t xml:space="preserve"> “primitive”, non-Western societies experiencing colonisation</w:t>
      </w:r>
      <w:r w:rsidR="00585EDD">
        <w:t xml:space="preserve"> (</w:t>
      </w:r>
      <w:proofErr w:type="spellStart"/>
      <w:r w:rsidR="00585EDD">
        <w:t>Asad</w:t>
      </w:r>
      <w:proofErr w:type="spellEnd"/>
      <w:r w:rsidR="00585EDD">
        <w:t xml:space="preserve"> 1973). </w:t>
      </w:r>
      <w:r w:rsidR="00635E52">
        <w:t>Of the three themes that relationally constituted the West’s imagination of itself – Order (Self) and the Utopia/Savagery Janus-face (Other) – anthropology came to occupy the “Savage slot” in the disciplinary division of labour (</w:t>
      </w:r>
      <w:proofErr w:type="spellStart"/>
      <w:r w:rsidR="00635E52">
        <w:t>Trouillot</w:t>
      </w:r>
      <w:proofErr w:type="spellEnd"/>
      <w:r w:rsidR="00635E52">
        <w:t xml:space="preserve"> 2003). So-called “primitive” societies were therefore the </w:t>
      </w:r>
      <w:r w:rsidR="009D22F3">
        <w:t>fount</w:t>
      </w:r>
      <w:r w:rsidR="00635E52">
        <w:t xml:space="preserve"> of a more abstract resource for the West: anthropological knowledge of its purported “</w:t>
      </w:r>
      <w:r w:rsidR="0046564E">
        <w:t>former</w:t>
      </w:r>
      <w:r w:rsidR="00635E52">
        <w:t xml:space="preserve"> state” preceding “civilisation”.  </w:t>
      </w:r>
    </w:p>
    <w:p w14:paraId="5039682D" w14:textId="684CE8EB" w:rsidR="00E20828" w:rsidRDefault="009D22F3" w:rsidP="00D96ABC">
      <w:pPr>
        <w:spacing w:line="360" w:lineRule="auto"/>
        <w:jc w:val="both"/>
      </w:pPr>
      <w:r>
        <w:t>The modes of anthropological research that</w:t>
      </w:r>
      <w:r w:rsidR="00BE46B8">
        <w:t xml:space="preserve"> arose during this colonial period</w:t>
      </w:r>
      <w:r>
        <w:t xml:space="preserve"> </w:t>
      </w:r>
      <w:r w:rsidR="00BE46B8">
        <w:t xml:space="preserve">(and which have lingered after its nominal demise) are based on </w:t>
      </w:r>
      <w:r w:rsidR="00261864">
        <w:t xml:space="preserve">the </w:t>
      </w:r>
      <w:r w:rsidR="000A6462">
        <w:t>positioning of the anthropologist as an</w:t>
      </w:r>
      <w:r w:rsidR="00261864">
        <w:t xml:space="preserve"> objective expert</w:t>
      </w:r>
      <w:r w:rsidR="006D401D">
        <w:t xml:space="preserve">. </w:t>
      </w:r>
      <w:r w:rsidR="000A6462">
        <w:t>This positioning incorporates the assumption</w:t>
      </w:r>
      <w:r w:rsidR="006D401D">
        <w:t xml:space="preserve"> that the </w:t>
      </w:r>
      <w:r w:rsidR="00E20828">
        <w:t xml:space="preserve">university-trained </w:t>
      </w:r>
      <w:r w:rsidR="006D401D">
        <w:t xml:space="preserve">anthropologist has a unique ability to produce expert knowledge about other societies. </w:t>
      </w:r>
      <w:r w:rsidR="00E20828">
        <w:t>Following the patterns of colonial resource flows from satellite to metropole, the resulting knowledge was always destined for consumption and debate in the Western academy</w:t>
      </w:r>
      <w:r w:rsidR="000A6462">
        <w:t xml:space="preserve">, </w:t>
      </w:r>
      <w:r w:rsidR="00E20828">
        <w:t>remain</w:t>
      </w:r>
      <w:r w:rsidR="000A6462">
        <w:t>ing</w:t>
      </w:r>
      <w:r w:rsidR="00E20828">
        <w:t xml:space="preserve"> of little use to the community (Vasco Uribe 2011). In this colonial mode of research, t</w:t>
      </w:r>
      <w:r w:rsidR="00BE46B8">
        <w:t xml:space="preserve">he outsider anthropologist </w:t>
      </w:r>
      <w:r w:rsidR="000A6462">
        <w:t>would enter</w:t>
      </w:r>
      <w:r w:rsidR="00BE46B8">
        <w:t xml:space="preserve"> the field site with their own agenda of inquiry, </w:t>
      </w:r>
      <w:r w:rsidR="006D401D">
        <w:t>often</w:t>
      </w:r>
      <w:r w:rsidR="00BE46B8">
        <w:t xml:space="preserve"> to address a theoretical issue contentious in </w:t>
      </w:r>
      <w:r w:rsidR="0061385F">
        <w:t xml:space="preserve">the </w:t>
      </w:r>
      <w:r w:rsidR="00BE46B8">
        <w:t>academi</w:t>
      </w:r>
      <w:r w:rsidR="007B0867">
        <w:t xml:space="preserve">c </w:t>
      </w:r>
      <w:r w:rsidR="00BE46B8">
        <w:t>community</w:t>
      </w:r>
      <w:r w:rsidR="006D401D">
        <w:t xml:space="preserve"> </w:t>
      </w:r>
      <w:r w:rsidR="00BE46B8">
        <w:t xml:space="preserve">(Gross &amp; Plattner 2002). </w:t>
      </w:r>
      <w:r w:rsidR="00E20828">
        <w:t xml:space="preserve">After collecting data, the anthropologist </w:t>
      </w:r>
      <w:r w:rsidR="000A6462">
        <w:t>would take</w:t>
      </w:r>
      <w:r w:rsidR="00E20828">
        <w:t xml:space="preserve"> </w:t>
      </w:r>
      <w:r w:rsidR="00E20828">
        <w:lastRenderedPageBreak/>
        <w:t xml:space="preserve">it home to conduct a holistic analysis of the social system in question, </w:t>
      </w:r>
      <w:r w:rsidR="00C82AD9">
        <w:t xml:space="preserve">which </w:t>
      </w:r>
      <w:r w:rsidR="000A6462">
        <w:t>wa</w:t>
      </w:r>
      <w:r w:rsidR="00C82AD9">
        <w:t xml:space="preserve">s seen as beyond the capacity of the </w:t>
      </w:r>
      <w:r w:rsidR="00E20828">
        <w:t xml:space="preserve">“native”. As Malinowski </w:t>
      </w:r>
      <w:r w:rsidR="000A6462">
        <w:t>(19</w:t>
      </w:r>
      <w:r w:rsidR="00435231">
        <w:t>94 [19</w:t>
      </w:r>
      <w:r w:rsidR="007C62B1">
        <w:t>2</w:t>
      </w:r>
      <w:r w:rsidR="00435231">
        <w:t>2]</w:t>
      </w:r>
      <w:r w:rsidR="000A6462">
        <w:t>, p.</w:t>
      </w:r>
      <w:r w:rsidR="00435231">
        <w:t>73</w:t>
      </w:r>
      <w:r w:rsidR="000A6462">
        <w:t xml:space="preserve">) </w:t>
      </w:r>
      <w:r w:rsidR="00E20828">
        <w:t xml:space="preserve">wrote, rather pejoratively, </w:t>
      </w:r>
    </w:p>
    <w:p w14:paraId="6611F1A3" w14:textId="3D8E9F2C" w:rsidR="00E20828" w:rsidRPr="003A4709" w:rsidRDefault="004F0EC9" w:rsidP="00E20828">
      <w:pPr>
        <w:spacing w:line="360" w:lineRule="auto"/>
        <w:ind w:left="851" w:right="851"/>
        <w:jc w:val="both"/>
        <w:rPr>
          <w:sz w:val="22"/>
        </w:rPr>
      </w:pPr>
      <w:r>
        <w:rPr>
          <w:sz w:val="22"/>
        </w:rPr>
        <w:t>s</w:t>
      </w:r>
      <w:r w:rsidR="00E20828" w:rsidRPr="003A4709">
        <w:rPr>
          <w:sz w:val="22"/>
        </w:rPr>
        <w:t>avages</w:t>
      </w:r>
      <w:r>
        <w:rPr>
          <w:sz w:val="22"/>
        </w:rPr>
        <w:t xml:space="preserve"> [</w:t>
      </w:r>
      <w:r w:rsidRPr="004F0EC9">
        <w:rPr>
          <w:i/>
          <w:sz w:val="22"/>
        </w:rPr>
        <w:t>sic</w:t>
      </w:r>
      <w:r>
        <w:rPr>
          <w:sz w:val="22"/>
        </w:rPr>
        <w:t xml:space="preserve">] </w:t>
      </w:r>
      <w:r w:rsidR="00E20828" w:rsidRPr="003A4709">
        <w:rPr>
          <w:sz w:val="22"/>
        </w:rPr>
        <w:t>…</w:t>
      </w:r>
      <w:r>
        <w:rPr>
          <w:sz w:val="22"/>
        </w:rPr>
        <w:t xml:space="preserve"> </w:t>
      </w:r>
      <w:r w:rsidR="00E20828" w:rsidRPr="003A4709">
        <w:rPr>
          <w:sz w:val="22"/>
        </w:rPr>
        <w:t xml:space="preserve">have no knowledge of the </w:t>
      </w:r>
      <w:r w:rsidR="00E20828" w:rsidRPr="003A4709">
        <w:rPr>
          <w:i/>
          <w:sz w:val="22"/>
        </w:rPr>
        <w:t xml:space="preserve">total outline </w:t>
      </w:r>
      <w:r w:rsidR="00E20828" w:rsidRPr="003A4709">
        <w:rPr>
          <w:sz w:val="22"/>
        </w:rPr>
        <w:t>of any of their social structure…</w:t>
      </w:r>
      <w:r>
        <w:rPr>
          <w:sz w:val="22"/>
        </w:rPr>
        <w:t xml:space="preserve"> </w:t>
      </w:r>
      <w:r w:rsidR="00E20828" w:rsidRPr="003A4709">
        <w:rPr>
          <w:sz w:val="22"/>
        </w:rPr>
        <w:t>this is beyond their mental range…</w:t>
      </w:r>
      <w:r>
        <w:rPr>
          <w:sz w:val="22"/>
        </w:rPr>
        <w:t xml:space="preserve">  </w:t>
      </w:r>
      <w:r w:rsidR="00E20828" w:rsidRPr="003A4709">
        <w:rPr>
          <w:sz w:val="22"/>
        </w:rPr>
        <w:t>the integration of all the details observed, the achievement of a sociological synthesis of all the various, relevant symptoms, is the task of the Ethnographer.</w:t>
      </w:r>
    </w:p>
    <w:p w14:paraId="52E66C24" w14:textId="0D88020E" w:rsidR="000A6462" w:rsidRDefault="004F0EC9" w:rsidP="006D401D">
      <w:pPr>
        <w:spacing w:line="360" w:lineRule="auto"/>
        <w:jc w:val="both"/>
      </w:pPr>
      <w:r>
        <w:t>Under this model, t</w:t>
      </w:r>
      <w:r w:rsidR="00E20828">
        <w:t xml:space="preserve">hose researched </w:t>
      </w:r>
      <w:r w:rsidR="002F59F0">
        <w:t>were</w:t>
      </w:r>
      <w:r w:rsidR="00E20828">
        <w:t xml:space="preserve"> analysed as unreflexive objects, rather than as reflexive agents, whilst the anthropologist’s expert training and </w:t>
      </w:r>
      <w:r w:rsidR="00261864">
        <w:t>“objectivity”</w:t>
      </w:r>
      <w:r w:rsidR="00E20828">
        <w:t xml:space="preserve"> </w:t>
      </w:r>
      <w:r w:rsidR="002F59F0">
        <w:t>wa</w:t>
      </w:r>
      <w:r w:rsidR="00E20828">
        <w:t xml:space="preserve">s seen to give them the authority to produce reliable knowledge. </w:t>
      </w:r>
      <w:r w:rsidR="00261864">
        <w:t>This stance of objectivity is violent, because it requires a</w:t>
      </w:r>
      <w:r w:rsidR="00C82AD9">
        <w:t xml:space="preserve"> radical separation </w:t>
      </w:r>
      <w:r w:rsidR="00261864">
        <w:t>of subject from object</w:t>
      </w:r>
      <w:r w:rsidR="00C82AD9">
        <w:t>:</w:t>
      </w:r>
      <w:r w:rsidR="00261864">
        <w:t xml:space="preserve"> ‘you, the observer, are… really alien to it, uncomprehending and without sympathy or identification’ (Lewis 1973, p. 585).</w:t>
      </w:r>
      <w:r w:rsidR="004A2242">
        <w:t xml:space="preserve"> Striving for objectivity </w:t>
      </w:r>
      <w:r w:rsidR="00C309E5">
        <w:t>therefore</w:t>
      </w:r>
      <w:r w:rsidR="004A2242">
        <w:t xml:space="preserve"> compound</w:t>
      </w:r>
      <w:r w:rsidR="00C309E5">
        <w:t>ed</w:t>
      </w:r>
      <w:r w:rsidR="004A2242">
        <w:t xml:space="preserve"> relations of inequality, dehumanising the observed and reducing them to an inferior position (Lewis 1973).</w:t>
      </w:r>
      <w:r w:rsidR="00BB51DB">
        <w:t xml:space="preserve"> During the colonial period, this claim of scientific objectivity also served to tacitly support imperialism, rather than critically imagine a different future those anthropologists researched (</w:t>
      </w:r>
      <w:proofErr w:type="spellStart"/>
      <w:r w:rsidR="00BB51DB">
        <w:t>Asad</w:t>
      </w:r>
      <w:proofErr w:type="spellEnd"/>
      <w:r w:rsidR="00BB51DB">
        <w:t xml:space="preserve"> 1973; Lewis 1973). Hence, whilst the aims of anthropologists</w:t>
      </w:r>
      <w:r w:rsidR="000A6462">
        <w:t xml:space="preserve"> during the colonial period</w:t>
      </w:r>
      <w:r w:rsidR="00BB51DB">
        <w:t xml:space="preserve"> m</w:t>
      </w:r>
      <w:r w:rsidR="00261864">
        <w:t xml:space="preserve">ay very well have been </w:t>
      </w:r>
      <w:r w:rsidR="00BB51DB">
        <w:t xml:space="preserve">to maintain </w:t>
      </w:r>
      <w:r w:rsidR="00261864">
        <w:t xml:space="preserve">the well-being of the communities they worked with, </w:t>
      </w:r>
      <w:r w:rsidR="000A6462">
        <w:t xml:space="preserve">their modes of research and knowledge production </w:t>
      </w:r>
      <w:r w:rsidR="00C309E5">
        <w:t>exhibited</w:t>
      </w:r>
      <w:r w:rsidR="000A6462">
        <w:t xml:space="preserve"> many similarities with colonialism’s principles of resource extraction. </w:t>
      </w:r>
    </w:p>
    <w:p w14:paraId="498B080B" w14:textId="7133F6AE" w:rsidR="00CC0264" w:rsidRDefault="00CC0264" w:rsidP="00CC0264">
      <w:pPr>
        <w:spacing w:line="360" w:lineRule="auto"/>
        <w:jc w:val="both"/>
      </w:pPr>
      <w:r>
        <w:t xml:space="preserve">Even within the colonial mode, implicit collaboration </w:t>
      </w:r>
      <w:r w:rsidR="00087E53">
        <w:t>has</w:t>
      </w:r>
      <w:r>
        <w:t xml:space="preserve"> always </w:t>
      </w:r>
      <w:r w:rsidR="00087E53">
        <w:t xml:space="preserve">been </w:t>
      </w:r>
      <w:r>
        <w:t>vital for the anthropologist to gain any insight (Holmes &amp; Marcus 2008;</w:t>
      </w:r>
      <w:r w:rsidRPr="00A36440">
        <w:t xml:space="preserve"> </w:t>
      </w:r>
      <w:r>
        <w:t xml:space="preserve">Lassiter 2005a; </w:t>
      </w:r>
      <w:proofErr w:type="spellStart"/>
      <w:r>
        <w:t>Strohm</w:t>
      </w:r>
      <w:proofErr w:type="spellEnd"/>
      <w:r>
        <w:t xml:space="preserve"> 2012). Developing rapport with those being researched </w:t>
      </w:r>
      <w:r w:rsidR="00087E53">
        <w:t>wa</w:t>
      </w:r>
      <w:r>
        <w:t xml:space="preserve">s nevertheless encouraged only as a means to an end, a ‘way to elaborate more fully “a native point of view”’ (Lassiter 2005a, p. 87). Such relationships and exchanges </w:t>
      </w:r>
      <w:r w:rsidR="00087E53">
        <w:t>were</w:t>
      </w:r>
      <w:r>
        <w:t xml:space="preserve"> usually downplayed in the resulting ethnography, emphasising the passivity of subjects and the agency of the ethnographer (</w:t>
      </w:r>
      <w:proofErr w:type="spellStart"/>
      <w:r>
        <w:t>Strohm</w:t>
      </w:r>
      <w:proofErr w:type="spellEnd"/>
      <w:r>
        <w:t xml:space="preserve"> 2012). Explicit collaborations during anthropology’s early days were rare, but they did exist. Lassiter (2005a) gives the example of the United States’ Bureau of </w:t>
      </w:r>
      <w:r w:rsidR="00213B86">
        <w:t xml:space="preserve">American </w:t>
      </w:r>
      <w:r>
        <w:t xml:space="preserve">Ethnology, which encouraged some collaboration with Native Americans, and even a book that was co-authored in 1911 by Alice Fletcher and her former Omaha interpreter Francis La </w:t>
      </w:r>
      <w:proofErr w:type="spellStart"/>
      <w:r>
        <w:t>Flesche</w:t>
      </w:r>
      <w:proofErr w:type="spellEnd"/>
      <w:r>
        <w:t xml:space="preserve">. </w:t>
      </w:r>
      <w:r w:rsidR="00017B32">
        <w:t>However,</w:t>
      </w:r>
      <w:r>
        <w:t xml:space="preserve"> </w:t>
      </w:r>
      <w:r w:rsidR="00017B32">
        <w:t xml:space="preserve">as an organisation whose purpose was primarily to organise and archive anthropological research </w:t>
      </w:r>
      <w:r w:rsidR="00D92A32">
        <w:t xml:space="preserve">about Native Americans, </w:t>
      </w:r>
      <w:r>
        <w:t xml:space="preserve">the Bureau’s collaborations were primarily instrumental, </w:t>
      </w:r>
      <w:r w:rsidR="00017B32">
        <w:t xml:space="preserve">a way to better gather information </w:t>
      </w:r>
      <w:r>
        <w:t xml:space="preserve">rather than a way of critiquing Western imperialism (Lassiter 2005a). </w:t>
      </w:r>
      <w:r w:rsidR="00017B32">
        <w:t xml:space="preserve">The resulting knowledge was not primarily destined for those being studied. </w:t>
      </w:r>
    </w:p>
    <w:p w14:paraId="026060F8" w14:textId="32922924" w:rsidR="006543FF" w:rsidRDefault="006543FF" w:rsidP="006543FF">
      <w:pPr>
        <w:spacing w:line="360" w:lineRule="auto"/>
        <w:jc w:val="both"/>
      </w:pPr>
      <w:r>
        <w:lastRenderedPageBreak/>
        <w:t>Since at least the 1970s, second-wave feminist researchers pioneered research relationships that resisted the premises of colonial modes of research, laying the first foundation</w:t>
      </w:r>
      <w:r w:rsidR="00087E53">
        <w:t>s</w:t>
      </w:r>
      <w:r>
        <w:t xml:space="preserve"> </w:t>
      </w:r>
      <w:r w:rsidR="002E210F">
        <w:t>on</w:t>
      </w:r>
      <w:r>
        <w:t xml:space="preserve"> which later calls for a collaborative anthropology would </w:t>
      </w:r>
      <w:r w:rsidR="002E210F">
        <w:t>build</w:t>
      </w:r>
      <w:r>
        <w:t xml:space="preserve"> (</w:t>
      </w:r>
      <w:proofErr w:type="spellStart"/>
      <w:r>
        <w:t>Fl</w:t>
      </w:r>
      <w:r w:rsidR="005A3B51">
        <w:t>ue</w:t>
      </w:r>
      <w:r w:rsidR="00C853FC">
        <w:t>h</w:t>
      </w:r>
      <w:r>
        <w:t>r-Lobban</w:t>
      </w:r>
      <w:proofErr w:type="spellEnd"/>
      <w:r>
        <w:t xml:space="preserve"> 2008; Lassiter 2005a). Feminist research </w:t>
      </w:r>
      <w:r w:rsidR="005A3B51">
        <w:t>strove</w:t>
      </w:r>
      <w:r>
        <w:t xml:space="preserve"> for an intersubjective research relationship, wherein the researcher shared her insights and experience as a woman with those being researched, who were encouraged to add their own opinions and thus influence the collection of information and its analysis (Klein 1983). This approach pushed back against the separation between a constructed subject and object, between the researcher and researched, and also destabilised the supposed authority of the researcher, creating a more equitable relationship (Lassiter 2005a; Lassiter 2005b). Feminist researchers also emphasised the importance of long-term research relationships and mutual trust, </w:t>
      </w:r>
      <w:r w:rsidR="00087E53">
        <w:t xml:space="preserve">out of which </w:t>
      </w:r>
      <w:r>
        <w:t>co-design</w:t>
      </w:r>
      <w:r w:rsidR="00087E53">
        <w:t xml:space="preserve">ed research could grow </w:t>
      </w:r>
      <w:r>
        <w:t>(</w:t>
      </w:r>
      <w:proofErr w:type="spellStart"/>
      <w:r>
        <w:t>Fluehr-Lobban</w:t>
      </w:r>
      <w:proofErr w:type="spellEnd"/>
      <w:r>
        <w:t xml:space="preserve"> 2008). However, during this period, feminist experimentations in intersubjective</w:t>
      </w:r>
      <w:r w:rsidR="006E6A0F">
        <w:t>, dialogic</w:t>
      </w:r>
      <w:r>
        <w:t xml:space="preserve"> modes of research</w:t>
      </w:r>
      <w:r w:rsidR="006E6A0F">
        <w:t>, in which culture and knowledge were produced relationally,</w:t>
      </w:r>
      <w:r>
        <w:t xml:space="preserve"> were largely dismissed in anthropology and the social sciences, as they were not seen as “objective” or “theoretical” enough by influential male colleagues (Lassiter 2005a). Such attitudes highlighted not only the degree to which objectivity in the research relationship was still valued, but also the force of the imperative to contribute to anthropology’s theoretical advancement over and above fulfilling the needs of research participants. </w:t>
      </w:r>
    </w:p>
    <w:p w14:paraId="2B5A00E6" w14:textId="7AD0ABF5" w:rsidR="0020501F" w:rsidRDefault="009D73F2" w:rsidP="006543FF">
      <w:pPr>
        <w:spacing w:line="360" w:lineRule="auto"/>
        <w:jc w:val="both"/>
      </w:pPr>
      <w:r>
        <w:t xml:space="preserve">From the 80s, these feminist critiques converged with a postmodernist critique that questioned the colonial power structures of representation within anthropological texts, in response to influential works such as Said’s </w:t>
      </w:r>
      <w:r>
        <w:rPr>
          <w:i/>
        </w:rPr>
        <w:t xml:space="preserve">Orientalism </w:t>
      </w:r>
      <w:r>
        <w:t>(1978).</w:t>
      </w:r>
      <w:r w:rsidR="00411438">
        <w:t xml:space="preserve"> These critiques drew on Foucault’s power/knowledge axis to examine anthropology’s truth claims and representations in relation to the discipline’s historical situation, raising questions about how the discipline constructs knowledge (Moore &amp; Sanders 2006). Like feminism, it challenged notions of objectivity and reason, </w:t>
      </w:r>
      <w:r w:rsidR="00861C1C">
        <w:t>instead emphasising</w:t>
      </w:r>
      <w:r w:rsidR="00411438">
        <w:t xml:space="preserve"> the crucial roles played by power, voice, subjectivity, dialogue and complexity (Lassiter 2005a).</w:t>
      </w:r>
      <w:r w:rsidR="006E6A0F">
        <w:t xml:space="preserve"> Tak</w:t>
      </w:r>
      <w:r w:rsidR="009F07F8">
        <w:t>ing</w:t>
      </w:r>
      <w:r w:rsidR="006E6A0F">
        <w:t xml:space="preserve"> up </w:t>
      </w:r>
      <w:r w:rsidR="009F07F8">
        <w:t xml:space="preserve">postmodernism </w:t>
      </w:r>
      <w:r w:rsidR="006E6A0F">
        <w:t xml:space="preserve">in interpretive anthropology, scholars replaced standard ethnographic monologues with dialogues with their informants, challenging the authority of a single voice (Clifford </w:t>
      </w:r>
      <w:r w:rsidR="00875693">
        <w:t xml:space="preserve">&amp; Marcus </w:t>
      </w:r>
      <w:r w:rsidR="006E6A0F">
        <w:t xml:space="preserve">1986; Lassiter 2005a). </w:t>
      </w:r>
      <w:r w:rsidR="00FF0429">
        <w:t>However, texts written during this period were usually conceived by the researcher in isolation and often did not include reactions to the text from those represented in it</w:t>
      </w:r>
      <w:r w:rsidR="006B5854">
        <w:t xml:space="preserve">, </w:t>
      </w:r>
      <w:r w:rsidR="0051439F">
        <w:t xml:space="preserve">and </w:t>
      </w:r>
      <w:r w:rsidR="00FF0429">
        <w:t xml:space="preserve">thus </w:t>
      </w:r>
      <w:r w:rsidR="0036673E">
        <w:t xml:space="preserve">posing </w:t>
      </w:r>
      <w:r w:rsidR="00FF0429">
        <w:t>a true challenge to the ethnographer’s narrative (Lassiter 2005a). Indeed</w:t>
      </w:r>
      <w:r w:rsidR="00FF0429" w:rsidRPr="00655EB9">
        <w:t>,</w:t>
      </w:r>
      <w:r w:rsidR="00FF0429">
        <w:t xml:space="preserve"> postmodernist anthropology was critiqued by engaged anthropologists for remaining too focused on the text, rather than the relationships around it. Vasco Uribe (2011, p. 47) writes that though postmodernists </w:t>
      </w:r>
      <w:r w:rsidR="00E00085">
        <w:t>identified</w:t>
      </w:r>
      <w:r w:rsidR="00FF0429">
        <w:t xml:space="preserve"> power inequalities, they primarily attempted to resolve them through the text rather than through the material realities of fieldwork.</w:t>
      </w:r>
      <w:r w:rsidR="006B5854">
        <w:t xml:space="preserve"> In the same vein, Kirsch (2018) distinguishes engaged anthropology, including collaborative research, from postmodernism </w:t>
      </w:r>
      <w:r w:rsidR="006B5854">
        <w:lastRenderedPageBreak/>
        <w:t xml:space="preserve">by the fact that it is not so much concerned with the </w:t>
      </w:r>
      <w:r w:rsidR="006B5854">
        <w:rPr>
          <w:i/>
        </w:rPr>
        <w:t xml:space="preserve">politics of representation </w:t>
      </w:r>
      <w:r w:rsidR="006B5854">
        <w:t xml:space="preserve">as the </w:t>
      </w:r>
      <w:r w:rsidR="006B5854">
        <w:rPr>
          <w:i/>
        </w:rPr>
        <w:t>politics of participation</w:t>
      </w:r>
      <w:r w:rsidR="006B5854">
        <w:t>; that is, it looks at how research forms part of a social world shared with those being studied and how different actors may stake their claims in that research. Despite these later critiques</w:t>
      </w:r>
      <w:r w:rsidR="00A23E24">
        <w:t xml:space="preserve"> of postmodernist anthropology</w:t>
      </w:r>
      <w:r w:rsidR="006B5854">
        <w:t xml:space="preserve">, at its inception, </w:t>
      </w:r>
      <w:r w:rsidR="00A23E24">
        <w:t xml:space="preserve">it </w:t>
      </w:r>
      <w:r w:rsidR="006B5854">
        <w:t xml:space="preserve">carried forward many of the concerns of second-wave feminist researchers, </w:t>
      </w:r>
      <w:r w:rsidR="00A23E24">
        <w:t>centralising</w:t>
      </w:r>
      <w:r w:rsidR="006B5854">
        <w:t xml:space="preserve"> critiques of power inequalities and the construction of knowledge </w:t>
      </w:r>
      <w:r w:rsidR="00A23E24">
        <w:t xml:space="preserve">in the discipline’s imaginary. </w:t>
      </w:r>
    </w:p>
    <w:p w14:paraId="36E14183" w14:textId="65F92898" w:rsidR="0020501F" w:rsidRDefault="005D3731" w:rsidP="0020501F">
      <w:pPr>
        <w:spacing w:line="360" w:lineRule="auto"/>
        <w:jc w:val="both"/>
      </w:pPr>
      <w:r>
        <w:t>F</w:t>
      </w:r>
      <w:r w:rsidR="0020501F">
        <w:t>eminism and postmodernism were united by their concern</w:t>
      </w:r>
      <w:r w:rsidR="000A06FE">
        <w:t>s</w:t>
      </w:r>
      <w:r w:rsidR="0020501F">
        <w:t xml:space="preserve"> with unsettling </w:t>
      </w:r>
      <w:r>
        <w:t>notions</w:t>
      </w:r>
      <w:r w:rsidR="0020501F">
        <w:t xml:space="preserve"> of scientific objectivity and power inequalities that were residues of colonialism</w:t>
      </w:r>
      <w:r w:rsidRPr="005D3731">
        <w:t xml:space="preserve"> </w:t>
      </w:r>
      <w:r>
        <w:t>in anthropological research</w:t>
      </w:r>
      <w:r w:rsidR="0020501F">
        <w:t xml:space="preserve">. While feminist research pioneered intersubjective methodologies, postmodernism interrogated the </w:t>
      </w:r>
      <w:r>
        <w:t xml:space="preserve">construction of </w:t>
      </w:r>
      <w:r w:rsidR="0020501F">
        <w:t>Western anthropological knowledge</w:t>
      </w:r>
      <w:r>
        <w:t xml:space="preserve"> in relation to imperialism</w:t>
      </w:r>
      <w:r w:rsidR="0020501F">
        <w:t>. Together, they informed the widespread calls for a collaborative anthropology that emerged in the late 1990s and the 2000s. In the following, I detail the visions of a collaborative anthropology that have been built and refined through practice and reflection over the subsequent decades since the collaborative turn</w:t>
      </w:r>
      <w:r w:rsidR="00C75AA8">
        <w:t xml:space="preserve"> towards decolonisation. </w:t>
      </w:r>
    </w:p>
    <w:p w14:paraId="7AC57526" w14:textId="77777777" w:rsidR="00400A60" w:rsidRDefault="00400A60" w:rsidP="00BE3CC8"/>
    <w:p w14:paraId="764E6ACB" w14:textId="476D6EE4" w:rsidR="00400A60" w:rsidRDefault="00400A60" w:rsidP="0020501F">
      <w:pPr>
        <w:spacing w:line="360" w:lineRule="auto"/>
        <w:jc w:val="both"/>
        <w:rPr>
          <w:i/>
          <w:sz w:val="28"/>
        </w:rPr>
      </w:pPr>
      <w:r w:rsidRPr="00400A60">
        <w:rPr>
          <w:i/>
          <w:sz w:val="28"/>
        </w:rPr>
        <w:t>Visions of a collaborative anthropology</w:t>
      </w:r>
    </w:p>
    <w:p w14:paraId="4C43ED68" w14:textId="64F77AAF" w:rsidR="00400A60" w:rsidRPr="00400A60" w:rsidRDefault="00400A60" w:rsidP="00400A60">
      <w:pPr>
        <w:pStyle w:val="NoSpacing"/>
      </w:pPr>
    </w:p>
    <w:p w14:paraId="052A657E" w14:textId="46822313" w:rsidR="00400A60" w:rsidRDefault="00400A60" w:rsidP="0020501F">
      <w:pPr>
        <w:spacing w:line="360" w:lineRule="auto"/>
        <w:jc w:val="both"/>
      </w:pPr>
      <w:r>
        <w:t>Across the literature, collaborative anthropology is broadly framed as an ethical commitment to decolonisation.</w:t>
      </w:r>
      <w:r w:rsidR="008C544B">
        <w:t xml:space="preserve"> If colonialism refers to control and exploitation of the other, scholars see a decolonised collaborative anthropology to ultimately entail sharing </w:t>
      </w:r>
      <w:r w:rsidR="0092663E">
        <w:t>control</w:t>
      </w:r>
      <w:r w:rsidR="008C544B">
        <w:t xml:space="preserve"> and ensuring that research is useful to those being studied. For instance, </w:t>
      </w:r>
      <w:proofErr w:type="spellStart"/>
      <w:r w:rsidR="008C544B">
        <w:t>Fluehr-Lobban’s</w:t>
      </w:r>
      <w:proofErr w:type="spellEnd"/>
      <w:r w:rsidR="008C544B">
        <w:t xml:space="preserve"> (2008) entitles her article in the first volume of </w:t>
      </w:r>
      <w:r w:rsidR="008C544B">
        <w:rPr>
          <w:i/>
        </w:rPr>
        <w:t xml:space="preserve">Collaborative Anthropologies </w:t>
      </w:r>
      <w:r w:rsidR="008C544B">
        <w:t>‘Collaborative anthropology as 21</w:t>
      </w:r>
      <w:r w:rsidR="008C544B" w:rsidRPr="004A61A2">
        <w:rPr>
          <w:vertAlign w:val="superscript"/>
        </w:rPr>
        <w:t>st</w:t>
      </w:r>
      <w:r w:rsidR="008C544B">
        <w:t xml:space="preserve">-century ethical anthropology’. Within, she portrays collaborative anthropology as a </w:t>
      </w:r>
      <w:r w:rsidR="0092663E">
        <w:t>strategy to replace</w:t>
      </w:r>
      <w:r w:rsidR="008C544B">
        <w:t xml:space="preserve"> hierarchical and solitary modes of research by involving those being studied and </w:t>
      </w:r>
      <w:r w:rsidR="0092663E">
        <w:t>securing</w:t>
      </w:r>
      <w:r w:rsidR="008C544B">
        <w:t xml:space="preserve"> outcomes related to community well-being. For Lassiter (2004, p. 1), too, an ethical commitment to collaboration is ‘a guiding principle… that transcends all other agendas, including the more general scientific principle that all is, or should be, knowable’</w:t>
      </w:r>
      <w:r w:rsidR="00202DD6">
        <w:t>, a statement that rejects the colonial notion that the theoretical advancement of anthropology is the primary aim of research. Broadly speaking, such framings of</w:t>
      </w:r>
      <w:r w:rsidR="008C544B">
        <w:t xml:space="preserve"> “ethical” collaborative anthropology </w:t>
      </w:r>
      <w:r w:rsidR="00202DD6">
        <w:t>are</w:t>
      </w:r>
      <w:r w:rsidR="008C544B">
        <w:t xml:space="preserve"> based on two assumptions: that due to an inherent asymmetry in class and privilege between anthropologists and those they research, anthropologists must consult with their subjects; and that anthropologists must be socially engaged and relevant by planning research with their consultants, rather than extracting data for their own professional careers (</w:t>
      </w:r>
      <w:proofErr w:type="spellStart"/>
      <w:r w:rsidR="008C544B">
        <w:t>Strohm</w:t>
      </w:r>
      <w:proofErr w:type="spellEnd"/>
      <w:r w:rsidR="008C544B">
        <w:t xml:space="preserve"> 2012). In this way, these collaborative anthropologists combine a </w:t>
      </w:r>
      <w:r w:rsidR="008C544B">
        <w:lastRenderedPageBreak/>
        <w:t xml:space="preserve">liberal ideal of universal equality with a </w:t>
      </w:r>
      <w:proofErr w:type="spellStart"/>
      <w:r w:rsidR="008C544B">
        <w:t>Levinasian</w:t>
      </w:r>
      <w:proofErr w:type="spellEnd"/>
      <w:r w:rsidR="008C544B">
        <w:t xml:space="preserve"> understanding of ethics as a responsibility to the other to conceptualise their contributions to decolonisation.</w:t>
      </w:r>
    </w:p>
    <w:p w14:paraId="4CECC047" w14:textId="3EB57A15" w:rsidR="00361414" w:rsidRDefault="00836F46" w:rsidP="00361414">
      <w:pPr>
        <w:spacing w:line="360" w:lineRule="auto"/>
        <w:jc w:val="both"/>
      </w:pPr>
      <w:r>
        <w:t>The central premise of an “ethical” collaborative anthropology is therefore a reconfiguration of “colonial” forms of fieldwork relationships</w:t>
      </w:r>
      <w:r w:rsidR="002B03D3">
        <w:t>,</w:t>
      </w:r>
      <w:r>
        <w:t xml:space="preserve"> a movement from hierarchical to equitable models. It is the focus on these relationships that distinguishes collaborative anthropology from other experimental and critical anthropologies, such as postmodernist scholarship of the 80s (Rappaport 2016; Vasco Uribe 2011). For an equitable research relationship, scholars suggest that the academic anthropologist, as the member of a prestigious institution, must devolve any authority they may have over the project to communities (Briones 2016; Howitt &amp; Stevens 2000; Lassiter 2005a; Lassiter 2008; Low &amp; Merry 2010; Marcus &amp; Holmes 2008; Vasco Uribe 2011).</w:t>
      </w:r>
      <w:r w:rsidR="003900CD">
        <w:t xml:space="preserve"> This deferral of authority must be preceded by an acknowledgement of the agency and reflexivity of “laypeople” with whom anthropologists work, resisting the </w:t>
      </w:r>
      <w:proofErr w:type="spellStart"/>
      <w:r w:rsidR="003900CD">
        <w:t>Malinowskian</w:t>
      </w:r>
      <w:proofErr w:type="spellEnd"/>
      <w:r w:rsidR="003900CD">
        <w:t xml:space="preserve"> view that non-anthropologists are blind to the overall workings of their own society.</w:t>
      </w:r>
      <w:r w:rsidR="00361414">
        <w:t xml:space="preserve"> </w:t>
      </w:r>
      <w:r w:rsidR="0094005E">
        <w:t>This involves establishing ‘</w:t>
      </w:r>
      <w:r w:rsidR="0094005E" w:rsidRPr="00EC2761">
        <w:t>a horizontal form of complicity in which we acknowledge the capacity of ethnography’s Other to theorize and to occupy locations similar to those of academic ethnographers’ (Rappaport 2008</w:t>
      </w:r>
      <w:r w:rsidR="0094005E">
        <w:t>, p. 24</w:t>
      </w:r>
      <w:r w:rsidR="0094005E" w:rsidRPr="00EC2761">
        <w:t>)</w:t>
      </w:r>
      <w:r w:rsidR="0094005E">
        <w:t>. Such an approach acknowledges that anthropological knowledge about alterity is produced by every ethnic group, and that anthropology the discipline is merely a systematised form of anthropological knowledge that, due to patterns of colonial power, has become hegemonic (Ribeiro 2014).</w:t>
      </w:r>
      <w:r w:rsidR="00361414">
        <w:t xml:space="preserve"> This </w:t>
      </w:r>
      <w:r w:rsidR="00B73F54">
        <w:t>recognition</w:t>
      </w:r>
      <w:r w:rsidR="00361414">
        <w:t xml:space="preserve"> allows us to suggest that those who anthropologists research may have their own unique and valid interpretations of their own society and practices in relation to others and are more than capable of working as collaborators. Accordingly, rather than being labelled as “subjects” or “informants”, which suggest</w:t>
      </w:r>
      <w:r w:rsidR="002949BB">
        <w:t>s</w:t>
      </w:r>
      <w:r w:rsidR="00361414">
        <w:t xml:space="preserve"> a lack of reflexivity, these people should be referred to as “consultants” or “collaborators”, terms that suggest a more equitable </w:t>
      </w:r>
      <w:r w:rsidR="002949BB">
        <w:t>intellectual partnership</w:t>
      </w:r>
      <w:r w:rsidR="00361414">
        <w:t xml:space="preserve"> (</w:t>
      </w:r>
      <w:proofErr w:type="spellStart"/>
      <w:r w:rsidR="00361414">
        <w:t>Fluehr-Lobban</w:t>
      </w:r>
      <w:proofErr w:type="spellEnd"/>
      <w:r w:rsidR="00361414">
        <w:t xml:space="preserve"> 2008; Lassiter 2005a; Lassiter 2005b). </w:t>
      </w:r>
    </w:p>
    <w:p w14:paraId="1D4F66CD" w14:textId="524A3BE2" w:rsidR="00420329" w:rsidRDefault="00BB6EC7" w:rsidP="00420329">
      <w:pPr>
        <w:spacing w:line="360" w:lineRule="auto"/>
        <w:jc w:val="both"/>
      </w:pPr>
      <w:r>
        <w:t xml:space="preserve">Because the design of a research project directly shapes the ways that its findings can be applied and for whom, co-designing an inquiry alongside members of the group being studied creates the potential for its resulting knowledge to address grassroots political objectives (Rappaport 2016; Kirsch 2006). Co-design therefore resists colonial modes of anthropology in which knowledge is produced for the purposes of external groups – be it the development of academia or the exploitation of resources by </w:t>
      </w:r>
      <w:proofErr w:type="gramStart"/>
      <w:r>
        <w:t>colonists  –</w:t>
      </w:r>
      <w:proofErr w:type="gramEnd"/>
      <w:r>
        <w:t xml:space="preserve"> by ensuring that group members can stake their claims in the project.</w:t>
      </w:r>
      <w:r w:rsidR="00420329">
        <w:t xml:space="preserve"> Co-design ensures that findings are applied for the community by establishing ‘the mutual interests, rights, responsibilities, and potential joint outcomes of the research reciprocally and collaboratively’ (</w:t>
      </w:r>
      <w:proofErr w:type="spellStart"/>
      <w:r w:rsidR="00420329">
        <w:t>Fluehr-Lobban</w:t>
      </w:r>
      <w:proofErr w:type="spellEnd"/>
      <w:r w:rsidR="00420329">
        <w:t xml:space="preserve"> 2008, p. 179). “Complicity” with community collaborators is a common mode of conceptualising this process of co-design. Rappaport (2008, p. 8, my emphasis) </w:t>
      </w:r>
      <w:r w:rsidR="00420329">
        <w:lastRenderedPageBreak/>
        <w:t xml:space="preserve">asks us to understand complicity not just in terms of ‘an ethnographic dialogue (which is frequently of greater interest to the ethnographer than to the subject), but </w:t>
      </w:r>
      <w:r w:rsidR="00420329" w:rsidRPr="00FC6845">
        <w:rPr>
          <w:i/>
        </w:rPr>
        <w:t>complicity in achieving the goals of the subject</w:t>
      </w:r>
      <w:r w:rsidR="00420329">
        <w:t xml:space="preserve"> through joint research’. Similarly, the El Dorado Task</w:t>
      </w:r>
      <w:r w:rsidR="00FA1312">
        <w:t xml:space="preserve"> F</w:t>
      </w:r>
      <w:r w:rsidR="00420329">
        <w:t xml:space="preserve">orce Papers </w:t>
      </w:r>
      <w:r w:rsidR="00FA1312">
        <w:t xml:space="preserve">that investigated the Yanomami </w:t>
      </w:r>
      <w:r w:rsidR="007C5CFF">
        <w:t>controversy</w:t>
      </w:r>
      <w:r w:rsidR="00FA1312">
        <w:t xml:space="preserve"> </w:t>
      </w:r>
      <w:r w:rsidR="00420329">
        <w:t>suggest</w:t>
      </w:r>
      <w:r w:rsidR="00FA1312">
        <w:t>ed</w:t>
      </w:r>
      <w:r w:rsidR="00420329">
        <w:t xml:space="preserve"> that the academic researcher’s theoretical agenda should ultimately defer to the agenda of the community members in question</w:t>
      </w:r>
      <w:r w:rsidR="00FA1312">
        <w:t xml:space="preserve"> (American Anthropological Association 2002)</w:t>
      </w:r>
      <w:r w:rsidR="00420329">
        <w:t>. In normatively suggesting that the researcher should conform as much as possible to the community’s objectives, these scholars emphasise the convergence of agendas to achieve a collective outcome. Others, instead, highlight that in practice</w:t>
      </w:r>
      <w:r w:rsidR="005E7F3F">
        <w:t>,</w:t>
      </w:r>
      <w:r w:rsidR="00420329">
        <w:t xml:space="preserve"> agendas may diverge significantly. Briones (2016, p. 34), reflecting on her work with indigenous movements in Argentina, frames collaboration as ‘the common setting of a middle ground… a standpoint or area of negotiation, midway between diverging positions, options, or objectives’. Briones (2016, p. 34) characterises this middle ground as ‘complex and somewhat frustrating’, replete with a discontent and uncertainty that arises when the political objectives of collaborators do not quite mesh. Co-design therefore creates a space for community members to stake their claims in a research project and coax it into line with their interests</w:t>
      </w:r>
      <w:r w:rsidR="005E7F3F">
        <w:t>. B</w:t>
      </w:r>
      <w:r w:rsidR="00420329">
        <w:t>ut by nature, this process is full of challenges, contestation and uncertainty as collaborators attempt to create a research project that fulfils each party’s ‘overlapping mutual as well as differing purposes’ (Marcus 2001, p</w:t>
      </w:r>
      <w:r w:rsidR="003963D5">
        <w:t>. 521</w:t>
      </w:r>
      <w:r w:rsidR="00420329">
        <w:t xml:space="preserve">). </w:t>
      </w:r>
    </w:p>
    <w:p w14:paraId="261F6416" w14:textId="55018E29" w:rsidR="00420329" w:rsidRPr="00400A60" w:rsidRDefault="0042059B" w:rsidP="00836F46">
      <w:pPr>
        <w:spacing w:line="360" w:lineRule="auto"/>
        <w:jc w:val="both"/>
      </w:pPr>
      <w:r>
        <w:t>Co-analysis alongside community members is also seen as part of an imperative to decolonise knowledge production, as well as contribut</w:t>
      </w:r>
      <w:r w:rsidR="0023005B">
        <w:t>e</w:t>
      </w:r>
      <w:r>
        <w:t xml:space="preserve"> to theoretical innovation (</w:t>
      </w:r>
      <w:proofErr w:type="spellStart"/>
      <w:r>
        <w:t>Fluehr-Lobban</w:t>
      </w:r>
      <w:proofErr w:type="spellEnd"/>
      <w:r>
        <w:t xml:space="preserve"> 2008; Rappaport 2016).</w:t>
      </w:r>
      <w:r w:rsidR="004E5B66">
        <w:t xml:space="preserve"> Like co-design, co-analysis is crucial to distinguish collaborative research from more colonial modes of research, because even though information has always been collected through dialogic exchange, that information has conventionally been analysed by the “expert” academic; the “native’s point of view” and explanations of phenomena were only ever seen as </w:t>
      </w:r>
      <w:r w:rsidR="004E5B66">
        <w:rPr>
          <w:i/>
        </w:rPr>
        <w:t xml:space="preserve">part of </w:t>
      </w:r>
      <w:r w:rsidR="004E5B66">
        <w:t>the data that the anthropologist would analyse to create knowledge (Vasco Uribe 2011).</w:t>
      </w:r>
      <w:r w:rsidR="00CC3B45">
        <w:t xml:space="preserve"> Co-analysis therefore goes beyond collaborative data collection to acknowledge the reflexivity and intelligence of those who are not trained anthropologists and suggest that they too have valid interpretations.</w:t>
      </w:r>
      <w:r w:rsidR="00594A27">
        <w:t xml:space="preserve"> As Rappaport (2016, p.</w:t>
      </w:r>
      <w:r w:rsidR="00413F77">
        <w:t xml:space="preserve"> 24</w:t>
      </w:r>
      <w:r w:rsidR="00594A27">
        <w:t xml:space="preserve">) writes, </w:t>
      </w:r>
    </w:p>
    <w:p w14:paraId="61569C85" w14:textId="49FCA9D5" w:rsidR="00B321B2" w:rsidRPr="00A66834" w:rsidRDefault="00B321B2" w:rsidP="00B321B2">
      <w:pPr>
        <w:spacing w:line="360" w:lineRule="auto"/>
        <w:ind w:left="851" w:right="851"/>
        <w:jc w:val="both"/>
        <w:rPr>
          <w:sz w:val="22"/>
        </w:rPr>
      </w:pPr>
      <w:r w:rsidRPr="00A66834">
        <w:rPr>
          <w:sz w:val="22"/>
        </w:rPr>
        <w:t>Unlike conventional ethnographic research, where the primary investigator is responsible for interpretation in a one-way flow of information, analysis becomes a central component of collaboration. It is not only that the people we work with set the agenda at the outset, supervise our collection of data, and comment on the final product, but that through chained conversations, all of this is going on continuously, adjustments are constantly being made, and interpretation is perpetually taking place— in different idioms and media, from different subject positions</w:t>
      </w:r>
      <w:r>
        <w:rPr>
          <w:sz w:val="22"/>
        </w:rPr>
        <w:t>.</w:t>
      </w:r>
    </w:p>
    <w:p w14:paraId="5DB6CE7C" w14:textId="2561F2C7" w:rsidR="00B77498" w:rsidRDefault="003025AF" w:rsidP="006543FF">
      <w:pPr>
        <w:spacing w:line="360" w:lineRule="auto"/>
        <w:jc w:val="both"/>
      </w:pPr>
      <w:r>
        <w:lastRenderedPageBreak/>
        <w:t>Data collection and interpretation is therefore conceived as an iterative process entered into by all collaborators.</w:t>
      </w:r>
      <w:r w:rsidR="00D36D78">
        <w:t xml:space="preserve"> </w:t>
      </w:r>
      <w:r w:rsidR="00780E6E">
        <w:t>Fieldwork and analysis, conventionally separated in colonial modes of research</w:t>
      </w:r>
      <w:r w:rsidR="00374136">
        <w:t>,</w:t>
      </w:r>
      <w:r w:rsidR="00780E6E">
        <w:t xml:space="preserve"> are </w:t>
      </w:r>
      <w:r w:rsidR="00374136">
        <w:t>merged</w:t>
      </w:r>
      <w:r w:rsidR="00780E6E">
        <w:t xml:space="preserve"> (Rappaport 2008; Vasco Uribe 2011). </w:t>
      </w:r>
      <w:r w:rsidR="00374136">
        <w:t xml:space="preserve">This unification has the possibility to lay the basis for grassroots political action in a similar way to co-design (Kirsch 2006). Just as framing research objectives directs attention and therefore action towards </w:t>
      </w:r>
      <w:r w:rsidR="00F62B29">
        <w:t>certain issues,</w:t>
      </w:r>
      <w:r w:rsidR="00374136">
        <w:t xml:space="preserve"> interpretation</w:t>
      </w:r>
      <w:r w:rsidR="00F62B29">
        <w:t xml:space="preserve"> too</w:t>
      </w:r>
      <w:r w:rsidR="00374136">
        <w:t xml:space="preserve"> is an act laden with political consequences (Michaels 1982). </w:t>
      </w:r>
      <w:r w:rsidR="00F62B29">
        <w:t xml:space="preserve">For instance, </w:t>
      </w:r>
      <w:r w:rsidR="009020E5">
        <w:t xml:space="preserve">in </w:t>
      </w:r>
      <w:r w:rsidR="00571BC6">
        <w:t>the context of Kirsch’s (2006</w:t>
      </w:r>
      <w:r w:rsidR="004D67A6">
        <w:t>, p. 4</w:t>
      </w:r>
      <w:r w:rsidR="00571BC6">
        <w:t xml:space="preserve">) fieldwork with the </w:t>
      </w:r>
      <w:proofErr w:type="spellStart"/>
      <w:r w:rsidR="00571BC6">
        <w:t>Yonggom</w:t>
      </w:r>
      <w:proofErr w:type="spellEnd"/>
      <w:r w:rsidR="00571BC6">
        <w:t xml:space="preserve"> in Papua New </w:t>
      </w:r>
      <w:proofErr w:type="spellStart"/>
      <w:r w:rsidR="00571BC6">
        <w:t>Guineau</w:t>
      </w:r>
      <w:proofErr w:type="spellEnd"/>
      <w:r w:rsidR="00571BC6">
        <w:t xml:space="preserve">, he notes that the outcome of struggles surrounding pollution from the Ok </w:t>
      </w:r>
      <w:proofErr w:type="spellStart"/>
      <w:r w:rsidR="00571BC6">
        <w:t>Tedi</w:t>
      </w:r>
      <w:proofErr w:type="spellEnd"/>
      <w:r w:rsidR="00571BC6">
        <w:t xml:space="preserve"> mine upstream ‘depends in part on whose narrative structures prevail’</w:t>
      </w:r>
      <w:r w:rsidR="004D67A6">
        <w:t xml:space="preserve">. </w:t>
      </w:r>
      <w:r w:rsidR="002321BE">
        <w:t xml:space="preserve">But not only can collaborative applications of emic frames of analysis lay the basis for political action, </w:t>
      </w:r>
      <w:r w:rsidR="009020E5">
        <w:t>they</w:t>
      </w:r>
      <w:r w:rsidR="002930C1">
        <w:t xml:space="preserve"> can also provide fresh insights to stale debates in Western academia. </w:t>
      </w:r>
      <w:r w:rsidR="00762BF8">
        <w:t xml:space="preserve">Rappaport (2008) details this process in her collaborative work with indigenous Nasa organisations in Colombia, which focused on the role of these organisations in contributing to multicultural policy. The Nasa intellectuals on the team used introspective methodologies centred </w:t>
      </w:r>
      <w:r w:rsidR="00465B3C">
        <w:t>on</w:t>
      </w:r>
      <w:r w:rsidR="00762BF8">
        <w:t xml:space="preserve"> their indigenous subject position to arrive at a conceptual framework that described their movement between the intermeshed native and non-native cultural spaces in terms of crossing a frontier between the “inside” and “outside”. Rappaport (2008) saw this framework as a way to move beyond </w:t>
      </w:r>
      <w:r w:rsidR="007D3C4C">
        <w:t xml:space="preserve">weary </w:t>
      </w:r>
      <w:r w:rsidR="00762BF8">
        <w:t>debates that cast the essentialism of indigenous identity politics as either inauthentic or politically strategic. Co-analysis in collaborative anthropology therefore provides a unique opportunity to</w:t>
      </w:r>
      <w:r w:rsidR="00467FD8">
        <w:t xml:space="preserve"> simultaneously</w:t>
      </w:r>
      <w:r w:rsidR="00762BF8">
        <w:t xml:space="preserve"> decolonise </w:t>
      </w:r>
      <w:r w:rsidR="00716808">
        <w:t>research relationships by deferring interpretive authority</w:t>
      </w:r>
      <w:r w:rsidR="00762BF8">
        <w:t xml:space="preserve">, </w:t>
      </w:r>
      <w:r w:rsidR="00465B3C">
        <w:t xml:space="preserve">to </w:t>
      </w:r>
      <w:r w:rsidR="00762BF8">
        <w:t>address grassroots political objectives</w:t>
      </w:r>
      <w:r w:rsidR="00465B3C">
        <w:t>,</w:t>
      </w:r>
      <w:r w:rsidR="00762BF8">
        <w:t xml:space="preserve"> and </w:t>
      </w:r>
      <w:r w:rsidR="00465B3C">
        <w:t xml:space="preserve">to </w:t>
      </w:r>
      <w:r w:rsidR="00762BF8">
        <w:t xml:space="preserve">contribute to </w:t>
      </w:r>
      <w:r w:rsidR="00A8687D">
        <w:t xml:space="preserve">Western </w:t>
      </w:r>
      <w:r w:rsidR="00762BF8">
        <w:t xml:space="preserve">academic theory.  </w:t>
      </w:r>
    </w:p>
    <w:p w14:paraId="4FB5EB10" w14:textId="1E78B05E" w:rsidR="00716808" w:rsidRDefault="00C635C4" w:rsidP="00716808">
      <w:pPr>
        <w:spacing w:line="360" w:lineRule="auto"/>
        <w:jc w:val="both"/>
      </w:pPr>
      <w:r>
        <w:t xml:space="preserve">For anthropological research centred on a written outcome, co-authoring with members of the community in question is crucial for the work to be considered fully collaborative, according to Lassiter (2005). This approach provides a radical and effective way of addressing postmodernism’s concerns with the politics of representation in the text; as Butler (2013) suggests, collaborative anthropologists work with communities so that they can represent themselves, rather than be spoken for by someone else. </w:t>
      </w:r>
      <w:r w:rsidR="00B67171">
        <w:t xml:space="preserve">However, what emerges as a stronger theme across the collaborative research literature is a rejection of the primacy of text, which is conventionally the focus of anthropological research (Briones 2016; Butler 2013; Kirsch 2018; Lassiter 2008; Low &amp; Merry 2010; Rappaport 2008; Rappaport 2016; </w:t>
      </w:r>
      <w:proofErr w:type="spellStart"/>
      <w:r w:rsidR="00B67171">
        <w:t>Strohm</w:t>
      </w:r>
      <w:proofErr w:type="spellEnd"/>
      <w:r w:rsidR="00B67171">
        <w:t xml:space="preserve"> 2012; Vasco Uribe 2011). Instead, these scholars emphasise that the </w:t>
      </w:r>
      <w:r w:rsidR="00B67171" w:rsidRPr="00340072">
        <w:rPr>
          <w:i/>
        </w:rPr>
        <w:t>process</w:t>
      </w:r>
      <w:r w:rsidR="00B67171">
        <w:t xml:space="preserve"> of the research is often more important to community members than the physical product of a research report. One example is Butler’s (2013, p. 108) project with young participants in Rio de Janeiro’s social justice movements, which aimed to </w:t>
      </w:r>
      <w:r w:rsidR="00CD28CB">
        <w:t>‘</w:t>
      </w:r>
      <w:r w:rsidR="00B67171">
        <w:t xml:space="preserve">initiate a collective process of narration and of debate about their experiences’. Whilst the collaborators contributed writing to a book on the subject, they highlighted the particular significance of having the </w:t>
      </w:r>
      <w:r w:rsidR="00B67171">
        <w:lastRenderedPageBreak/>
        <w:t>opportunity to share a space with others to reflect on common challenges, to debate and to exchange ideas.</w:t>
      </w:r>
      <w:r w:rsidR="003C74F4">
        <w:t xml:space="preserve"> The process of co-interpretation therefore made the knowledge immediately applicable </w:t>
      </w:r>
      <w:r w:rsidR="005D783D">
        <w:t xml:space="preserve">for those participating </w:t>
      </w:r>
      <w:r w:rsidR="003C74F4">
        <w:t xml:space="preserve">in the same moment as it was collectively produced. As Rappaport (2016, p. 9) reflects, ‘these local forms of sharing research results are the stuff of which collaboration is made, the space in which the intentionality of research is harnessed to the work of culture-making, itself a type of politics in the modern world’. Indeed, the collaborative process ensures that the results of the research are shared and applied immediately, rather than being transformed into an “immutable mobile” for consumption elsewhere (Latour 1986), in the libraries of the academy or the offices of an international development agency. </w:t>
      </w:r>
      <w:r w:rsidR="00716808">
        <w:t xml:space="preserve">Being open to the significance of process, rather than focusing primarily on the product, is therefore seen as another way to decolonise research relationships in collaborative anthropology. </w:t>
      </w:r>
    </w:p>
    <w:p w14:paraId="62ACA460" w14:textId="2A974C14" w:rsidR="00042C4C" w:rsidRDefault="005D221B" w:rsidP="00CC0264">
      <w:pPr>
        <w:spacing w:line="360" w:lineRule="auto"/>
        <w:jc w:val="both"/>
      </w:pPr>
      <w:r>
        <w:t>In striving for a decolonised anthropology</w:t>
      </w:r>
      <w:r w:rsidR="00B24576">
        <w:t xml:space="preserve"> through collaboration, anthropologists aim to defer authority over key aspects of a project that are conventionally seen as the purview of the expert academic, including designing objectives and methodology</w:t>
      </w:r>
      <w:r w:rsidR="00E736CF">
        <w:t>,</w:t>
      </w:r>
      <w:r w:rsidR="00B24576">
        <w:t xml:space="preserve"> as well as </w:t>
      </w:r>
      <w:r w:rsidR="00E736CF">
        <w:t>analysing</w:t>
      </w:r>
      <w:r w:rsidR="00B24576">
        <w:t xml:space="preserve"> information. </w:t>
      </w:r>
      <w:r w:rsidR="004F78BE">
        <w:t xml:space="preserve">Furthermore, in line with their orientation towards the needs of the other, </w:t>
      </w:r>
      <w:r w:rsidR="00E736CF">
        <w:t>anthropologists</w:t>
      </w:r>
      <w:r w:rsidR="004F78BE">
        <w:t xml:space="preserve"> acknowledge that the process of collaboration can be more significant to communities than a final product</w:t>
      </w:r>
      <w:r w:rsidR="00C5292D">
        <w:t xml:space="preserve"> and shift their focus accordingly. </w:t>
      </w:r>
      <w:r w:rsidR="00693B6A">
        <w:t>Whilst these innovati</w:t>
      </w:r>
      <w:r w:rsidR="000B1B57">
        <w:t>ons</w:t>
      </w:r>
      <w:r w:rsidR="00693B6A">
        <w:t xml:space="preserve"> in research are admirable, in the next section</w:t>
      </w:r>
      <w:r w:rsidR="000B1B57">
        <w:t>,</w:t>
      </w:r>
      <w:r w:rsidR="00693B6A">
        <w:t xml:space="preserve"> I suggest after </w:t>
      </w:r>
      <w:proofErr w:type="spellStart"/>
      <w:r w:rsidR="00693B6A">
        <w:t>Strohm</w:t>
      </w:r>
      <w:proofErr w:type="spellEnd"/>
      <w:r w:rsidR="00693B6A">
        <w:t xml:space="preserve"> (2012) that framing them as </w:t>
      </w:r>
      <w:r w:rsidR="000B1B57">
        <w:t xml:space="preserve">part of </w:t>
      </w:r>
      <w:r w:rsidR="00693B6A">
        <w:t>an “ethical” commitment to decolonisation is problematic</w:t>
      </w:r>
      <w:r w:rsidR="0027321C">
        <w:t xml:space="preserve"> and counterproductive</w:t>
      </w:r>
      <w:r w:rsidR="00693B6A">
        <w:t xml:space="preserve">. </w:t>
      </w:r>
    </w:p>
    <w:p w14:paraId="6C82177E" w14:textId="77777777" w:rsidR="002208F7" w:rsidRDefault="002208F7" w:rsidP="00BE3CC8"/>
    <w:p w14:paraId="5803EAC0" w14:textId="55CC2898" w:rsidR="002208F7" w:rsidRDefault="002208F7" w:rsidP="002208F7">
      <w:pPr>
        <w:spacing w:line="360" w:lineRule="auto"/>
        <w:jc w:val="both"/>
        <w:rPr>
          <w:i/>
          <w:sz w:val="28"/>
        </w:rPr>
      </w:pPr>
      <w:r w:rsidRPr="002208F7">
        <w:rPr>
          <w:i/>
          <w:sz w:val="28"/>
        </w:rPr>
        <w:t>Disrupting the police order: a true politics of collaborative anthropology</w:t>
      </w:r>
    </w:p>
    <w:p w14:paraId="143E37BF" w14:textId="31ED5CC6" w:rsidR="002208F7" w:rsidRDefault="002208F7" w:rsidP="002208F7">
      <w:pPr>
        <w:pStyle w:val="NoSpacing"/>
      </w:pPr>
    </w:p>
    <w:p w14:paraId="235338E2" w14:textId="2ED37DCB" w:rsidR="008242F3" w:rsidRDefault="002208F7" w:rsidP="00507259">
      <w:pPr>
        <w:spacing w:line="360" w:lineRule="auto"/>
        <w:jc w:val="both"/>
      </w:pPr>
      <w:r>
        <w:t>While there are a range of potential power dynamics that characterise research relationships, most of the literature on collaborative anthropology is concerned with research relationships that mirror</w:t>
      </w:r>
      <w:r w:rsidR="00943CF6">
        <w:t xml:space="preserve"> the </w:t>
      </w:r>
      <w:r>
        <w:t>power dynamics of colonial research.</w:t>
      </w:r>
      <w:r w:rsidR="008242F3">
        <w:t xml:space="preserve"> This has led Hayley (2009, p. 577) to write that </w:t>
      </w:r>
      <w:r w:rsidR="008242F3" w:rsidRPr="00061F51">
        <w:t>the widespread support for collaborative anthro</w:t>
      </w:r>
      <w:r w:rsidR="00114BDA">
        <w:t>pology</w:t>
      </w:r>
      <w:r w:rsidR="008242F3" w:rsidRPr="00061F51">
        <w:t xml:space="preserve"> is </w:t>
      </w:r>
      <w:r w:rsidR="008242F3">
        <w:t>‘</w:t>
      </w:r>
      <w:r w:rsidR="008242F3" w:rsidRPr="00061F51">
        <w:t xml:space="preserve">associated with the myopic constraining of anthropology to indigenous subjects that </w:t>
      </w:r>
      <w:proofErr w:type="spellStart"/>
      <w:r w:rsidR="008242F3" w:rsidRPr="00061F51">
        <w:t>Trouillot</w:t>
      </w:r>
      <w:proofErr w:type="spellEnd"/>
      <w:r w:rsidR="008242F3" w:rsidRPr="00061F51">
        <w:t xml:space="preserve"> (2003) calls “the savage slot,” which anthropologists are abandoning in growing numbers’</w:t>
      </w:r>
      <w:r w:rsidR="008242F3">
        <w:t xml:space="preserve">. Indeed, scholars discuss collaborative anthropology mostly in reference to situations in which Western academics, associated with prestigious and well-resourced institutions, conduct research in partnership with marginalised communities, particularly indigenous peoples. Following colonial patterns of domination and the history of the discipline, the anthropologist is therefore assumed to have more power and influence than those others with whom they are working. However, when anthropologists presuppose </w:t>
      </w:r>
      <w:r w:rsidR="008242F3">
        <w:lastRenderedPageBreak/>
        <w:t>inequality between themselves and their consultants</w:t>
      </w:r>
      <w:r w:rsidR="001E0D4E">
        <w:t>, framing</w:t>
      </w:r>
      <w:r w:rsidR="008242F3">
        <w:t xml:space="preserve"> their collaborative projects in terms of an ethical responsibility to decolonisation, </w:t>
      </w:r>
      <w:proofErr w:type="spellStart"/>
      <w:r w:rsidR="008242F3">
        <w:t>Strohm</w:t>
      </w:r>
      <w:proofErr w:type="spellEnd"/>
      <w:r w:rsidR="008242F3">
        <w:t xml:space="preserve"> (2012) suggests that they</w:t>
      </w:r>
      <w:r w:rsidR="008242F3" w:rsidRPr="00CA341A">
        <w:t xml:space="preserve"> reproduce the very colonial power dynamics they are attempting to</w:t>
      </w:r>
      <w:r w:rsidR="008242F3">
        <w:t xml:space="preserve"> resist</w:t>
      </w:r>
      <w:r w:rsidR="008242F3" w:rsidRPr="00CA341A">
        <w:t>.</w:t>
      </w:r>
      <w:r w:rsidR="008242F3">
        <w:t xml:space="preserve"> For example, </w:t>
      </w:r>
      <w:r w:rsidR="00507259">
        <w:t>Briones (2016) writes of collaborative anthropology in terms of ‘neutralizing asymmetries and of undoing the unilateral privileges that researchers have as members of a dominant educated class or group, gender, or region.’ By using words like “neutralise and “undo” she suggests that a top-down power relationship already exists</w:t>
      </w:r>
      <w:r w:rsidR="000B60B8">
        <w:t xml:space="preserve"> and that it is the researcher’s job to flatten it.</w:t>
      </w:r>
      <w:r w:rsidR="00507259">
        <w:t xml:space="preserve"> </w:t>
      </w:r>
      <w:r w:rsidR="000B60B8">
        <w:t xml:space="preserve">These kinds of </w:t>
      </w:r>
      <w:r w:rsidR="0062401C">
        <w:t>attitudes suggest that equality is understood as something that is given or provided by the anthropologist through their ethical commitment to decolonisation of the research relationship</w:t>
      </w:r>
      <w:r w:rsidR="00757F76">
        <w:t xml:space="preserve"> (</w:t>
      </w:r>
      <w:proofErr w:type="spellStart"/>
      <w:r w:rsidR="00757F76">
        <w:t>Strohm</w:t>
      </w:r>
      <w:proofErr w:type="spellEnd"/>
      <w:r w:rsidR="00757F76">
        <w:t xml:space="preserve"> 2012)</w:t>
      </w:r>
      <w:r w:rsidR="000B60B8">
        <w:t xml:space="preserve">, an approach that </w:t>
      </w:r>
      <w:r w:rsidR="00757F76">
        <w:t>resonates faintly</w:t>
      </w:r>
      <w:r w:rsidR="000B60B8">
        <w:t xml:space="preserve"> with colonial paternalism. </w:t>
      </w:r>
    </w:p>
    <w:p w14:paraId="4FAA0E15" w14:textId="6D265BFC" w:rsidR="006B6C56" w:rsidRDefault="00946E12" w:rsidP="00507259">
      <w:pPr>
        <w:spacing w:line="360" w:lineRule="auto"/>
        <w:jc w:val="both"/>
      </w:pPr>
      <w:proofErr w:type="spellStart"/>
      <w:r>
        <w:t>Strohm</w:t>
      </w:r>
      <w:proofErr w:type="spellEnd"/>
      <w:r>
        <w:t xml:space="preserve"> (2012) suggests that anthropologists should instead presuppose equality with their collaborators as a way to engender a true politics in the Rancièrian sense.</w:t>
      </w:r>
      <w:r w:rsidR="002E0EA5">
        <w:t xml:space="preserve"> </w:t>
      </w:r>
      <w:proofErr w:type="spellStart"/>
      <w:r w:rsidR="002E0EA5">
        <w:t>Rancière</w:t>
      </w:r>
      <w:proofErr w:type="spellEnd"/>
      <w:r w:rsidR="002E0EA5">
        <w:t xml:space="preserve"> </w:t>
      </w:r>
      <w:r w:rsidR="00A51954">
        <w:t>(</w:t>
      </w:r>
      <w:r w:rsidR="00BE417E">
        <w:t>1999</w:t>
      </w:r>
      <w:r w:rsidR="00A51954">
        <w:t xml:space="preserve">) </w:t>
      </w:r>
      <w:r w:rsidR="002E0EA5">
        <w:t xml:space="preserve">makes a clear distinction between “the police”, which refers to a hegemonic ordering of what can be said and done, and </w:t>
      </w:r>
      <w:r w:rsidR="00A51954">
        <w:t>a true politics, which refers to acts of disagreement and dissent with the police order. This politics is founded on the practice and verification of equality, that is, through the recognition of the other as a speaking being with the right to utter and be heard, and the verification of that right through its assertion by the subject (</w:t>
      </w:r>
      <w:proofErr w:type="spellStart"/>
      <w:r w:rsidR="00A51954">
        <w:t>Rancière</w:t>
      </w:r>
      <w:proofErr w:type="spellEnd"/>
      <w:r w:rsidR="00A51954">
        <w:t xml:space="preserve"> </w:t>
      </w:r>
      <w:r w:rsidR="00BE417E">
        <w:t>1999</w:t>
      </w:r>
      <w:r w:rsidR="00A51954">
        <w:t xml:space="preserve">). Anthropological knowledge can be considered the police order because it is the hegemonic discourse on alterity (Ribeiro 2014; </w:t>
      </w:r>
      <w:proofErr w:type="spellStart"/>
      <w:r w:rsidR="00A51954">
        <w:t>Strohm</w:t>
      </w:r>
      <w:proofErr w:type="spellEnd"/>
      <w:r w:rsidR="00A51954">
        <w:t xml:space="preserve"> 2012). </w:t>
      </w:r>
      <w:r w:rsidR="00324466">
        <w:t>In conventional ethnography, people are “spoken for” by the anthropologist, which inflicts a violence on them by excluding them as equal speaking beings (</w:t>
      </w:r>
      <w:r w:rsidR="00F46536">
        <w:t xml:space="preserve">Butler 2013; </w:t>
      </w:r>
      <w:proofErr w:type="spellStart"/>
      <w:r w:rsidR="00F46536">
        <w:t>Strohm</w:t>
      </w:r>
      <w:proofErr w:type="spellEnd"/>
      <w:r w:rsidR="00F46536">
        <w:t xml:space="preserve"> 2012</w:t>
      </w:r>
      <w:r w:rsidR="00324466">
        <w:t>).</w:t>
      </w:r>
      <w:r w:rsidR="00873C68">
        <w:t xml:space="preserve"> Whilst scholars of collaborative anthropology recognise and aim to address this wrong, conceiving of their efforts in terms of an ethical commitment reproduces a narrative of Western power and paternalism, which ultimately precludes an understanding of how ‘collaboration as dissensus can potentially disrupt and reconfigure the anthropological episteme’ (</w:t>
      </w:r>
      <w:proofErr w:type="spellStart"/>
      <w:r w:rsidR="00873C68">
        <w:t>Strohm</w:t>
      </w:r>
      <w:proofErr w:type="spellEnd"/>
      <w:r w:rsidR="00873C68">
        <w:t xml:space="preserve"> 2012, p. 107). </w:t>
      </w:r>
      <w:r w:rsidR="007B0867">
        <w:t>I</w:t>
      </w:r>
      <w:r w:rsidR="006B1B63">
        <w:t>t is the speaking ethnographic subject practicing and verifying their equality by making themselves heard (rather than having that equality “given” to them) that can lead to this dissensus and a subsequent reconfiguration of dominant tropes and representations (</w:t>
      </w:r>
      <w:proofErr w:type="spellStart"/>
      <w:r w:rsidR="006B1B63">
        <w:t>Strohm</w:t>
      </w:r>
      <w:proofErr w:type="spellEnd"/>
      <w:r w:rsidR="006B1B63">
        <w:t xml:space="preserve"> 2012). This viewpoint coincides with </w:t>
      </w:r>
      <w:proofErr w:type="spellStart"/>
      <w:r w:rsidR="006B1B63">
        <w:t>Trouillot’s</w:t>
      </w:r>
      <w:proofErr w:type="spellEnd"/>
      <w:r w:rsidR="006B1B63">
        <w:t xml:space="preserve"> (2003) suggested means to destabilise the tropes of the Savage slot</w:t>
      </w:r>
      <w:r w:rsidR="00A0326E">
        <w:t>. H</w:t>
      </w:r>
      <w:r w:rsidR="006B1B63">
        <w:t xml:space="preserve">e writes, </w:t>
      </w:r>
    </w:p>
    <w:p w14:paraId="7BD0EFFD" w14:textId="1B710711" w:rsidR="00757F76" w:rsidRPr="006B6C56" w:rsidRDefault="006B1B63" w:rsidP="006B6C56">
      <w:pPr>
        <w:spacing w:line="360" w:lineRule="auto"/>
        <w:ind w:left="851" w:right="851"/>
        <w:jc w:val="both"/>
        <w:rPr>
          <w:sz w:val="22"/>
        </w:rPr>
      </w:pPr>
      <w:r w:rsidRPr="006B6C56">
        <w:rPr>
          <w:sz w:val="22"/>
        </w:rPr>
        <w:t>we can recapture domains of significance by creating strategic points of “re-entry” into the discourse on otherness: areas within the discourse where the production of new voices or new combinations of meaning perturbate the entire field and open the way to its (partial) recapture (</w:t>
      </w:r>
      <w:proofErr w:type="spellStart"/>
      <w:r w:rsidRPr="006B6C56">
        <w:rPr>
          <w:sz w:val="22"/>
        </w:rPr>
        <w:t>Trouillot</w:t>
      </w:r>
      <w:proofErr w:type="spellEnd"/>
      <w:r w:rsidRPr="006B6C56">
        <w:rPr>
          <w:sz w:val="22"/>
        </w:rPr>
        <w:t xml:space="preserve"> 2003, p. 27).</w:t>
      </w:r>
    </w:p>
    <w:p w14:paraId="5E3C8BEA" w14:textId="07C537A4" w:rsidR="00507259" w:rsidRDefault="00451DF5" w:rsidP="008242F3">
      <w:pPr>
        <w:spacing w:line="360" w:lineRule="auto"/>
        <w:jc w:val="both"/>
      </w:pPr>
      <w:r>
        <w:lastRenderedPageBreak/>
        <w:t xml:space="preserve">Both </w:t>
      </w:r>
      <w:proofErr w:type="spellStart"/>
      <w:r>
        <w:t>Trouillot</w:t>
      </w:r>
      <w:r w:rsidR="008D10CA">
        <w:t>’s</w:t>
      </w:r>
      <w:proofErr w:type="spellEnd"/>
      <w:r>
        <w:t xml:space="preserve"> (2003) and </w:t>
      </w:r>
      <w:proofErr w:type="spellStart"/>
      <w:r>
        <w:t>Strohm</w:t>
      </w:r>
      <w:r w:rsidR="008D10CA">
        <w:t>’s</w:t>
      </w:r>
      <w:proofErr w:type="spellEnd"/>
      <w:r>
        <w:t xml:space="preserve"> (2012) </w:t>
      </w:r>
      <w:r w:rsidR="008D10CA">
        <w:t xml:space="preserve">accounts of disruption </w:t>
      </w:r>
      <w:r>
        <w:t xml:space="preserve">therefore resonate with Briones’ (2016) discussion of collaboration as a middle ground of negotiation and divergence, even as </w:t>
      </w:r>
      <w:proofErr w:type="spellStart"/>
      <w:r>
        <w:t>Strohm</w:t>
      </w:r>
      <w:proofErr w:type="spellEnd"/>
      <w:r>
        <w:t xml:space="preserve"> (2012) rejects her supposition that the researcher must “undo” pre-</w:t>
      </w:r>
      <w:proofErr w:type="spellStart"/>
      <w:r>
        <w:t>exisiting</w:t>
      </w:r>
      <w:proofErr w:type="spellEnd"/>
      <w:r>
        <w:t xml:space="preserve"> inequalities to achieve that middle ground. It is </w:t>
      </w:r>
      <w:r w:rsidR="008C1625">
        <w:t>through</w:t>
      </w:r>
      <w:r>
        <w:t xml:space="preserve"> the navigation of such a middle ground of discontent and disagreement that equality and a true politics can emerge to disrupt anthropology’s police order. </w:t>
      </w:r>
    </w:p>
    <w:p w14:paraId="436A1712" w14:textId="01A34CD8" w:rsidR="002208F7" w:rsidRDefault="00451DF5" w:rsidP="00CF623D">
      <w:pPr>
        <w:spacing w:line="360" w:lineRule="auto"/>
        <w:jc w:val="both"/>
      </w:pPr>
      <w:r>
        <w:t xml:space="preserve">The collaborative experience of Holmes and Marcus (2008) provides an example of how this disruption of the anthropological episteme can occur. Unlike most </w:t>
      </w:r>
      <w:r w:rsidR="00485EFD">
        <w:t xml:space="preserve">other scholars who write on </w:t>
      </w:r>
      <w:r w:rsidR="005412F5">
        <w:t>collaborative anthropology</w:t>
      </w:r>
      <w:r w:rsidR="00485EFD">
        <w:t>, they study elites, including EU parliamentarians, aristocrats and bankers</w:t>
      </w:r>
      <w:r w:rsidR="00607136">
        <w:t xml:space="preserve">. Interestingly, perhaps because of a presupposition of equality with their subjects, their </w:t>
      </w:r>
      <w:r w:rsidR="005412F5">
        <w:t xml:space="preserve">approach </w:t>
      </w:r>
      <w:r w:rsidR="00607136">
        <w:t>to collaboration</w:t>
      </w:r>
      <w:r w:rsidR="005412F5">
        <w:t xml:space="preserve"> falls</w:t>
      </w:r>
      <w:r w:rsidR="00485EFD">
        <w:t xml:space="preserve"> more along the lines of what </w:t>
      </w:r>
      <w:proofErr w:type="spellStart"/>
      <w:r w:rsidR="00485EFD">
        <w:t>Strohm</w:t>
      </w:r>
      <w:proofErr w:type="spellEnd"/>
      <w:r w:rsidR="00485EFD">
        <w:t xml:space="preserve"> (2012) envisions. </w:t>
      </w:r>
      <w:r w:rsidR="005412F5">
        <w:t xml:space="preserve">They write, ‘Ethnography advances today by deferring to, absorbing, and being altered by found reflexive subjects—by risking collaborative encounters of uncertain outcomes for the production of ethnographic knowledge’ (Holmes &amp; Marcus 2008, p. 84). </w:t>
      </w:r>
      <w:r w:rsidR="008A56D1">
        <w:t>To come to this proposition, they recount their experience of working with Professor David “Bert” Westbrook,</w:t>
      </w:r>
      <w:r w:rsidR="008A56D1" w:rsidRPr="008A56D1">
        <w:t xml:space="preserve"> </w:t>
      </w:r>
      <w:r w:rsidR="008A56D1">
        <w:t xml:space="preserve">a former corporate lawyer who is now a scholar of corporations. The three were drawn into dialogue because Holmes and Marcus (2008) saw a para-ethnographic sensibility in Bert’s work, whilst Bert was curious about ethnography’s potential for critiques of legal studies. </w:t>
      </w:r>
      <w:r w:rsidR="00AD1C8E">
        <w:t xml:space="preserve">Holmes and Marcus (2008) began constructing Bert as if he were anthropology’s classic other as a simulacrum to conceptualise how reciprocal exchange with a para-ethnographers (community members with an ethnographic sensibility) might be understood in the context of a collaboration. </w:t>
      </w:r>
      <w:r w:rsidR="00CF623D">
        <w:t xml:space="preserve">Yet to Holmes and Marcus’s (2008) surprise, Bert appropriated their thinking by rapidly publishing a book, a para-ethnography, on the culture of anthropology and their theories about para-ethnography, discussing </w:t>
      </w:r>
      <w:r w:rsidR="00F01C7B">
        <w:t xml:space="preserve">the </w:t>
      </w:r>
      <w:r w:rsidR="00CF623D">
        <w:t xml:space="preserve">relevance </w:t>
      </w:r>
      <w:r w:rsidR="00F01C7B">
        <w:t xml:space="preserve">of these ideas </w:t>
      </w:r>
      <w:r w:rsidR="00CF623D">
        <w:t>to his own field.</w:t>
      </w:r>
      <w:r w:rsidR="00607136">
        <w:t xml:space="preserve"> </w:t>
      </w:r>
      <w:r w:rsidR="00E35940">
        <w:t xml:space="preserve">Holmes and Marcus (2008, p. 91) assess the situation in the following terms: </w:t>
      </w:r>
    </w:p>
    <w:p w14:paraId="6AD027A9" w14:textId="77777777" w:rsidR="00E35940" w:rsidRPr="0068501D" w:rsidRDefault="00E35940" w:rsidP="00E35940">
      <w:pPr>
        <w:spacing w:line="360" w:lineRule="auto"/>
        <w:ind w:left="851" w:right="851"/>
        <w:jc w:val="both"/>
        <w:rPr>
          <w:sz w:val="22"/>
        </w:rPr>
      </w:pPr>
      <w:r w:rsidRPr="0068501D">
        <w:rPr>
          <w:sz w:val="22"/>
        </w:rPr>
        <w:t xml:space="preserve">At its most schematic, the relationship with Bert represents a fieldwork situation where an appropriation by a subject or set of subjects </w:t>
      </w:r>
      <w:r>
        <w:rPr>
          <w:sz w:val="22"/>
        </w:rPr>
        <w:t>…</w:t>
      </w:r>
      <w:r w:rsidRPr="0068501D">
        <w:rPr>
          <w:sz w:val="22"/>
        </w:rPr>
        <w:t xml:space="preserve"> with what we have termed para-ethnographic curiosity has trumped the authority, or comfortable self-definition, of the ethnographer as the one who conducts the inquiry and shapes the conceptual agenda. The ethnographer, to work “inside” a conceptual space, is now brought into it by an unfamiliar and perhaps uncomfortable re-negotiation of his or her own framework, which he or she holds dear. </w:t>
      </w:r>
    </w:p>
    <w:p w14:paraId="46D24094" w14:textId="60885FDA" w:rsidR="00DD02C8" w:rsidRDefault="00E35940" w:rsidP="00CF623D">
      <w:pPr>
        <w:spacing w:line="360" w:lineRule="auto"/>
        <w:jc w:val="both"/>
      </w:pPr>
      <w:r>
        <w:t xml:space="preserve">The feelings of insecurity, uncertainty and surprise that Holmes and Marcus (2008) describe in having their thought appropriated and repurposed suggest </w:t>
      </w:r>
      <w:r w:rsidR="00F01C7B">
        <w:t xml:space="preserve">that </w:t>
      </w:r>
      <w:r w:rsidR="00DD02C8">
        <w:t xml:space="preserve">as Bert asserts his right as a </w:t>
      </w:r>
      <w:r w:rsidR="00DD02C8">
        <w:lastRenderedPageBreak/>
        <w:t xml:space="preserve">“speaking subject”, </w:t>
      </w:r>
      <w:r>
        <w:t>the anthropological police order is being disrupted</w:t>
      </w:r>
      <w:r w:rsidR="00DD02C8">
        <w:t>.</w:t>
      </w:r>
      <w:r>
        <w:t xml:space="preserve"> </w:t>
      </w:r>
      <w:r w:rsidR="00454FAE">
        <w:t xml:space="preserve">Whilst this is perhaps an exceptional </w:t>
      </w:r>
      <w:r w:rsidR="00C0295D">
        <w:t>situation</w:t>
      </w:r>
      <w:r w:rsidR="00454FAE">
        <w:t xml:space="preserve"> for an anthropological collaboration, Holmes and Marcus (2008) nevertheless suggest that this imaginary of the research relationship may be broadly applicable to a range of research contexts, even in cases where the anthropologist has more structural advantage than their collaborators. In light of </w:t>
      </w:r>
      <w:proofErr w:type="spellStart"/>
      <w:r w:rsidR="00454FAE">
        <w:t>Strohm’s</w:t>
      </w:r>
      <w:proofErr w:type="spellEnd"/>
      <w:r w:rsidR="00454FAE">
        <w:t xml:space="preserve"> (2012) critique of collaborative anthropology, </w:t>
      </w:r>
      <w:r w:rsidR="00F01C7B">
        <w:t>Holmes and Marcus’ (2008)</w:t>
      </w:r>
      <w:r w:rsidR="00454FAE">
        <w:t xml:space="preserve"> model of the research relationship and its processes provide a way to conceptualise what a relationship free from imperialist undertones might look like.</w:t>
      </w:r>
    </w:p>
    <w:p w14:paraId="3B843647" w14:textId="509857A4" w:rsidR="00DD02C8" w:rsidRDefault="00DD02C8" w:rsidP="00884B4F">
      <w:pPr>
        <w:pStyle w:val="NoSpacing"/>
      </w:pPr>
    </w:p>
    <w:p w14:paraId="7F67154D" w14:textId="55AA3DC0" w:rsidR="00884B4F" w:rsidRDefault="00884B4F" w:rsidP="00CF623D">
      <w:pPr>
        <w:spacing w:line="360" w:lineRule="auto"/>
        <w:jc w:val="both"/>
        <w:rPr>
          <w:i/>
          <w:sz w:val="28"/>
        </w:rPr>
      </w:pPr>
      <w:r w:rsidRPr="00884B4F">
        <w:rPr>
          <w:i/>
          <w:sz w:val="28"/>
        </w:rPr>
        <w:t xml:space="preserve">Conclusion </w:t>
      </w:r>
    </w:p>
    <w:p w14:paraId="48B6754A" w14:textId="7B12CDDD" w:rsidR="00575568" w:rsidRDefault="006000DB" w:rsidP="00CE266C">
      <w:pPr>
        <w:pStyle w:val="NoSpacing"/>
        <w:spacing w:line="360" w:lineRule="auto"/>
        <w:jc w:val="both"/>
      </w:pPr>
      <w:r>
        <w:t xml:space="preserve">Collaboration with the members of the groups </w:t>
      </w:r>
      <w:r w:rsidR="00CE266C">
        <w:t xml:space="preserve">that </w:t>
      </w:r>
      <w:proofErr w:type="gramStart"/>
      <w:r>
        <w:t>anthropologists</w:t>
      </w:r>
      <w:proofErr w:type="gramEnd"/>
      <w:r>
        <w:t xml:space="preserve"> study has always been an integral part of their research. Without</w:t>
      </w:r>
      <w:r w:rsidR="00DD1352">
        <w:t xml:space="preserve"> cooperation and guidance from the people they spend time with, they cannot begin to understand the meanings of the phenomena they observe and in which they participate. </w:t>
      </w:r>
      <w:r w:rsidR="00CE266C">
        <w:t xml:space="preserve">In colonial modes of research, this collaboration was effaced in </w:t>
      </w:r>
      <w:r w:rsidR="0092229F">
        <w:t xml:space="preserve">the resulting </w:t>
      </w:r>
      <w:r w:rsidR="00CE266C">
        <w:t>monographs</w:t>
      </w:r>
      <w:r w:rsidR="00437E5E">
        <w:t xml:space="preserve">. The agency and analytical acumen of the ethnographer was brought to the fore of a text that primarily served </w:t>
      </w:r>
      <w:r w:rsidR="00BB4E5A">
        <w:t xml:space="preserve">at best </w:t>
      </w:r>
      <w:r w:rsidR="00437E5E">
        <w:t>to benefit their own professional career</w:t>
      </w:r>
      <w:r w:rsidR="003706BE">
        <w:t xml:space="preserve"> and</w:t>
      </w:r>
      <w:r w:rsidR="00437E5E">
        <w:t xml:space="preserve"> the theoretical advancement of the discipline, </w:t>
      </w:r>
      <w:r w:rsidR="003706BE">
        <w:t>or</w:t>
      </w:r>
      <w:r w:rsidR="00437E5E">
        <w:t xml:space="preserve"> at worst, to indirectly enable the exploitation of marginalised communities.</w:t>
      </w:r>
      <w:r w:rsidR="00BB4E5A">
        <w:t xml:space="preserve"> </w:t>
      </w:r>
      <w:r w:rsidR="00CE266C">
        <w:t xml:space="preserve">Postmodernists aimed to </w:t>
      </w:r>
      <w:r w:rsidR="00F174E4">
        <w:t xml:space="preserve">rectify these wrongs by </w:t>
      </w:r>
      <w:r w:rsidR="00CE266C">
        <w:t>bring</w:t>
      </w:r>
      <w:r w:rsidR="00F174E4">
        <w:t>ing</w:t>
      </w:r>
      <w:r w:rsidR="00CE266C">
        <w:t xml:space="preserve"> </w:t>
      </w:r>
      <w:r w:rsidR="00F174E4">
        <w:t>the inherently</w:t>
      </w:r>
      <w:r w:rsidR="00CE266C">
        <w:t xml:space="preserve"> collaborative production of knowledge to the fore </w:t>
      </w:r>
      <w:r w:rsidR="0092229F">
        <w:t>in the text, making the processes that inform the final product</w:t>
      </w:r>
      <w:r w:rsidR="00F174E4" w:rsidRPr="00F174E4">
        <w:t xml:space="preserve"> </w:t>
      </w:r>
      <w:r w:rsidR="00F174E4">
        <w:t>more visible</w:t>
      </w:r>
      <w:r w:rsidR="0092229F">
        <w:t xml:space="preserve">. </w:t>
      </w:r>
      <w:r w:rsidR="000C0E7E">
        <w:t xml:space="preserve">But by focusing mainly on power in the text, they overlooked the importance of power dynamics in the fieldwork relations themselves (Vasco Uribe 2011). </w:t>
      </w:r>
      <w:r w:rsidR="00D262A4">
        <w:t xml:space="preserve">The knowledge produced still tended to be of little practical use to those who appeared in those texts, </w:t>
      </w:r>
      <w:r w:rsidR="003706BE">
        <w:t>instead</w:t>
      </w:r>
      <w:r w:rsidR="00D262A4">
        <w:t xml:space="preserve"> boosting </w:t>
      </w:r>
      <w:r w:rsidR="00BB4E5A">
        <w:t>the</w:t>
      </w:r>
      <w:r w:rsidR="00D262A4">
        <w:t xml:space="preserve"> anti-hegemonic credentials </w:t>
      </w:r>
      <w:r w:rsidR="003706BE">
        <w:t xml:space="preserve">of those scholars </w:t>
      </w:r>
      <w:r w:rsidR="00D262A4">
        <w:t xml:space="preserve">(Lassiter 2005a). </w:t>
      </w:r>
      <w:r w:rsidR="003255BD">
        <w:t xml:space="preserve">It was early feminist </w:t>
      </w:r>
      <w:r w:rsidR="00D262A4">
        <w:t xml:space="preserve">research that </w:t>
      </w:r>
      <w:r w:rsidR="00C547D1">
        <w:t xml:space="preserve">instead </w:t>
      </w:r>
      <w:r w:rsidR="00D262A4">
        <w:t xml:space="preserve">pioneered a focus on an egalitarian and intersubjective research </w:t>
      </w:r>
      <w:r w:rsidR="00D262A4">
        <w:rPr>
          <w:i/>
        </w:rPr>
        <w:t>relationship</w:t>
      </w:r>
      <w:r w:rsidR="00D262A4">
        <w:t>,</w:t>
      </w:r>
      <w:r w:rsidR="00575568">
        <w:t xml:space="preserve"> a focus that scholars have emphasised in their visions of an engaged collaborative anthropology</w:t>
      </w:r>
      <w:r w:rsidR="000910E8">
        <w:t>,</w:t>
      </w:r>
      <w:r w:rsidR="00C547D1">
        <w:t xml:space="preserve"> </w:t>
      </w:r>
      <w:r w:rsidR="00575568">
        <w:t>supported</w:t>
      </w:r>
      <w:r w:rsidR="00450227">
        <w:t>,</w:t>
      </w:r>
      <w:r w:rsidR="00575568">
        <w:t xml:space="preserve"> </w:t>
      </w:r>
      <w:r w:rsidR="00BB4E5A">
        <w:t>nevertheless</w:t>
      </w:r>
      <w:r w:rsidR="00450227">
        <w:t>,</w:t>
      </w:r>
      <w:r w:rsidR="00BB4E5A">
        <w:t xml:space="preserve"> </w:t>
      </w:r>
      <w:r w:rsidR="00575568">
        <w:t xml:space="preserve">by postmodernism’s theorisation of </w:t>
      </w:r>
      <w:r w:rsidR="000B57BA">
        <w:t xml:space="preserve">the </w:t>
      </w:r>
      <w:r w:rsidR="00575568">
        <w:t xml:space="preserve">intersections between power and knowledge. </w:t>
      </w:r>
    </w:p>
    <w:p w14:paraId="07621DF7" w14:textId="013DCFCA" w:rsidR="00884B4F" w:rsidRDefault="00884B4F" w:rsidP="00884B4F">
      <w:pPr>
        <w:pStyle w:val="NoSpacing"/>
      </w:pPr>
    </w:p>
    <w:p w14:paraId="490B4695" w14:textId="3BA03103" w:rsidR="00884B4F" w:rsidRDefault="0089417D" w:rsidP="00206D03">
      <w:pPr>
        <w:pStyle w:val="NoSpacing"/>
        <w:spacing w:line="360" w:lineRule="auto"/>
        <w:jc w:val="both"/>
      </w:pPr>
      <w:r>
        <w:t xml:space="preserve">In the study of indigenous societies, an engaged collaborative anthropology presents a unique opportunity to imagine </w:t>
      </w:r>
      <w:r w:rsidR="00620033">
        <w:t xml:space="preserve">a </w:t>
      </w:r>
      <w:r>
        <w:t xml:space="preserve">research relationship characterised by intersubjectivity and mutual respect, </w:t>
      </w:r>
      <w:r w:rsidR="00DA24F4">
        <w:t xml:space="preserve">rather than reproducing colonial </w:t>
      </w:r>
      <w:r w:rsidR="00620033">
        <w:t>modes</w:t>
      </w:r>
      <w:r w:rsidR="00BB4E5A">
        <w:t xml:space="preserve"> of research</w:t>
      </w:r>
      <w:r w:rsidR="00AF7937">
        <w:t xml:space="preserve">. </w:t>
      </w:r>
      <w:r w:rsidR="00450227">
        <w:t>Through</w:t>
      </w:r>
      <w:r w:rsidR="00620033">
        <w:t xml:space="preserve"> the</w:t>
      </w:r>
      <w:r w:rsidR="00AF7937">
        <w:t xml:space="preserve"> principles of co-design, co-analysis</w:t>
      </w:r>
      <w:r w:rsidR="001B453C">
        <w:t xml:space="preserve"> and emphasising process over product, </w:t>
      </w:r>
      <w:r w:rsidR="00450227">
        <w:t>collaborative</w:t>
      </w:r>
      <w:r w:rsidR="001B453C">
        <w:t xml:space="preserve"> research</w:t>
      </w:r>
      <w:r w:rsidR="00450227">
        <w:t>’s findings</w:t>
      </w:r>
      <w:r w:rsidR="001B453C">
        <w:t xml:space="preserve"> </w:t>
      </w:r>
      <w:r w:rsidR="00450227">
        <w:t>are</w:t>
      </w:r>
      <w:r w:rsidR="001B453C">
        <w:t xml:space="preserve"> more likely to be primarily directed towards a practical use for the community in question, rather than for the benefit of outsiders. </w:t>
      </w:r>
      <w:r w:rsidR="00622783">
        <w:t>Because these pragmatic innovations in anthropological fieldwork break with neo-colonial flows of value from the satellite to the metropole, they</w:t>
      </w:r>
      <w:r w:rsidR="000E481C">
        <w:t xml:space="preserve"> are</w:t>
      </w:r>
      <w:r w:rsidR="001D06C7">
        <w:t xml:space="preserve"> a significant step towards </w:t>
      </w:r>
      <w:r w:rsidR="001D06C7">
        <w:lastRenderedPageBreak/>
        <w:t>the decolonisation of the discipline</w:t>
      </w:r>
      <w:r w:rsidR="000E481C">
        <w:t>, particularly for anthropologists who work with indigenous and marginalised communities</w:t>
      </w:r>
      <w:r w:rsidR="001D06C7">
        <w:t xml:space="preserve">. </w:t>
      </w:r>
      <w:r w:rsidR="000B57BA">
        <w:t xml:space="preserve">However, </w:t>
      </w:r>
      <w:r w:rsidR="000E481C">
        <w:t xml:space="preserve">framing </w:t>
      </w:r>
      <w:r w:rsidR="00622783">
        <w:t>such</w:t>
      </w:r>
      <w:r w:rsidR="0084610E">
        <w:t xml:space="preserve"> collaboration as an </w:t>
      </w:r>
      <w:r w:rsidR="0084610E" w:rsidRPr="00622783">
        <w:rPr>
          <w:i/>
        </w:rPr>
        <w:t>ethical</w:t>
      </w:r>
      <w:r w:rsidR="0084610E">
        <w:t xml:space="preserve"> commitment to decolonisation is problematic in that </w:t>
      </w:r>
      <w:r w:rsidR="00C30364">
        <w:t>it presupposes an inequality between anthropologist and collaborator</w:t>
      </w:r>
      <w:r w:rsidR="00BF2A13">
        <w:t>, such that the anthropologist resolves to use their moral agency to flatten that inequality</w:t>
      </w:r>
      <w:r w:rsidR="00AC48FA">
        <w:t xml:space="preserve"> (</w:t>
      </w:r>
      <w:proofErr w:type="spellStart"/>
      <w:r w:rsidR="00AC48FA">
        <w:t>Strohm</w:t>
      </w:r>
      <w:proofErr w:type="spellEnd"/>
      <w:r w:rsidR="00AC48FA">
        <w:t xml:space="preserve"> 2012)</w:t>
      </w:r>
      <w:r w:rsidR="00BF2A13">
        <w:t xml:space="preserve">. </w:t>
      </w:r>
      <w:r w:rsidR="004155BD">
        <w:t xml:space="preserve">A more effective route to </w:t>
      </w:r>
      <w:r w:rsidR="00AC48FA">
        <w:t>imagining research relationships free of imperialist resonances would be for anthropologist and community member to recognise and verify each other’s equality as speaking subject</w:t>
      </w:r>
      <w:r w:rsidR="00EF64B2">
        <w:t>s</w:t>
      </w:r>
      <w:r w:rsidR="00AC48FA">
        <w:t xml:space="preserve">, such that the layperson may dissent from the police order of anthropological knowledge and truly unsettle the power conferred on an academic by </w:t>
      </w:r>
      <w:r w:rsidR="00450227">
        <w:t xml:space="preserve">virtue of </w:t>
      </w:r>
      <w:r w:rsidR="00AC48FA">
        <w:t>belonging to a prestigious and socially sanctioned institution (</w:t>
      </w:r>
      <w:proofErr w:type="spellStart"/>
      <w:r w:rsidR="00AF1A45">
        <w:t>Rancière</w:t>
      </w:r>
      <w:proofErr w:type="spellEnd"/>
      <w:r w:rsidR="00AF1A45">
        <w:t xml:space="preserve"> 1999; </w:t>
      </w:r>
      <w:proofErr w:type="spellStart"/>
      <w:r w:rsidR="00313695">
        <w:t>Strohm</w:t>
      </w:r>
      <w:proofErr w:type="spellEnd"/>
      <w:r w:rsidR="00313695">
        <w:t xml:space="preserve"> 2012). </w:t>
      </w:r>
    </w:p>
    <w:p w14:paraId="4544FD63" w14:textId="19268A0D" w:rsidR="00206D03" w:rsidRDefault="00206D03" w:rsidP="00206D03">
      <w:pPr>
        <w:pStyle w:val="NoSpacing"/>
        <w:spacing w:line="360" w:lineRule="auto"/>
        <w:jc w:val="both"/>
      </w:pPr>
    </w:p>
    <w:p w14:paraId="768AD6E2" w14:textId="52F7AC19" w:rsidR="00206D03" w:rsidRPr="00884B4F" w:rsidRDefault="00206D03" w:rsidP="00206D03">
      <w:pPr>
        <w:pStyle w:val="NoSpacing"/>
        <w:spacing w:line="360" w:lineRule="auto"/>
        <w:jc w:val="both"/>
      </w:pPr>
      <w:r>
        <w:t>Despite the burgeoning</w:t>
      </w:r>
      <w:bookmarkStart w:id="0" w:name="_GoBack"/>
      <w:bookmarkEnd w:id="0"/>
      <w:r>
        <w:t xml:space="preserve"> literature on collaborative anthropology in recent years, there are still difficult questions to be addressed. </w:t>
      </w:r>
      <w:r w:rsidR="000E506E">
        <w:t xml:space="preserve">For instance, if negotiation in setting the research agenda is to be encouraged </w:t>
      </w:r>
      <w:r w:rsidR="007A3707">
        <w:t xml:space="preserve">along </w:t>
      </w:r>
      <w:r w:rsidR="000E506E">
        <w:t>with the potential for disagreement, at what point do diverging agendas make collaboration impossible (Briones 2016)? What if the agenda of one disadvantaged community diametrically opposes that of another?</w:t>
      </w:r>
      <w:r w:rsidR="007A3707">
        <w:t xml:space="preserve"> Moreover, d</w:t>
      </w:r>
      <w:r w:rsidR="000E506E">
        <w:t xml:space="preserve">o all disadvantaged communities really need or want </w:t>
      </w:r>
      <w:r w:rsidR="007A3707">
        <w:t xml:space="preserve">research framed as </w:t>
      </w:r>
      <w:r w:rsidR="000E506E">
        <w:t>an egalitarian collaboration? For some, emphasising the prestige and influence of the academic’s position</w:t>
      </w:r>
      <w:r w:rsidR="00AF4CFF">
        <w:t xml:space="preserve"> and “expertise”</w:t>
      </w:r>
      <w:r w:rsidR="000E506E">
        <w:t xml:space="preserve"> is </w:t>
      </w:r>
      <w:r w:rsidR="00AF4CFF">
        <w:t xml:space="preserve">a key strategy to advance </w:t>
      </w:r>
      <w:r w:rsidR="007A3707">
        <w:t>social justice</w:t>
      </w:r>
      <w:r w:rsidR="00AF4CFF">
        <w:t xml:space="preserve"> (Hayley 2002). Furthermore, a</w:t>
      </w:r>
      <w:r>
        <w:t xml:space="preserve">s most of the literature on collaborative anthropology focuses on research of indigenous </w:t>
      </w:r>
      <w:r w:rsidR="00196C38">
        <w:t xml:space="preserve">and marginalised </w:t>
      </w:r>
      <w:r>
        <w:t xml:space="preserve">societies, more discussion is needed on the utility of collaboration in other contexts. These days, many anthropologists work in </w:t>
      </w:r>
      <w:r w:rsidR="00196C38">
        <w:t xml:space="preserve">influential </w:t>
      </w:r>
      <w:r>
        <w:t xml:space="preserve">organisations such as </w:t>
      </w:r>
      <w:r w:rsidR="007A3707">
        <w:t xml:space="preserve">states, </w:t>
      </w:r>
      <w:r w:rsidR="00BB4E5A">
        <w:t xml:space="preserve">international </w:t>
      </w:r>
      <w:r w:rsidR="007A3707">
        <w:t xml:space="preserve">development organisations and </w:t>
      </w:r>
      <w:r w:rsidR="00196C38">
        <w:t xml:space="preserve">corporations. In such cases, the more powerful “police order” may come from outside anthropological discourse. For anthropologists to remain engaged and critique hegemonic discourses in such situations, they may have to emphatically resist collaboration with their participants (e.g. </w:t>
      </w:r>
      <w:proofErr w:type="spellStart"/>
      <w:r w:rsidR="00196C38">
        <w:t>Mosse</w:t>
      </w:r>
      <w:proofErr w:type="spellEnd"/>
      <w:r w:rsidR="00196C38">
        <w:t xml:space="preserve"> 2006). </w:t>
      </w:r>
      <w:r w:rsidR="009D6A01">
        <w:t xml:space="preserve">Ultimately, </w:t>
      </w:r>
      <w:r w:rsidR="009B32E6">
        <w:t>collaborative anthropology is not a panacea</w:t>
      </w:r>
      <w:r w:rsidR="00BB4E5A">
        <w:t xml:space="preserve">; </w:t>
      </w:r>
      <w:r w:rsidR="009B32E6">
        <w:t xml:space="preserve">its </w:t>
      </w:r>
      <w:r w:rsidR="009D6A01">
        <w:t xml:space="preserve">principles are a means to an end, just one way to strive for </w:t>
      </w:r>
      <w:r w:rsidR="008F6DCF">
        <w:t>a</w:t>
      </w:r>
      <w:r w:rsidR="00C83D00">
        <w:t xml:space="preserve"> fairer world</w:t>
      </w:r>
      <w:r w:rsidR="00BB4E5A">
        <w:t xml:space="preserve"> with better outcomes for the most vulnerable</w:t>
      </w:r>
      <w:r w:rsidR="00C83D00">
        <w:t xml:space="preserve">. Whether that goal is a valid one, or </w:t>
      </w:r>
      <w:r w:rsidR="00E76433">
        <w:t>the</w:t>
      </w:r>
      <w:r w:rsidR="00787442">
        <w:t xml:space="preserve"> </w:t>
      </w:r>
      <w:r w:rsidR="00C83D00">
        <w:t xml:space="preserve">ethnocentric liberal ideals of </w:t>
      </w:r>
      <w:r w:rsidR="002E78FA">
        <w:t xml:space="preserve">Western </w:t>
      </w:r>
      <w:r w:rsidR="00C83D00">
        <w:t xml:space="preserve">academics, is </w:t>
      </w:r>
      <w:r w:rsidR="009B32E6">
        <w:t xml:space="preserve">another question. </w:t>
      </w:r>
      <w:r w:rsidR="00C83D00">
        <w:t xml:space="preserve"> </w:t>
      </w:r>
    </w:p>
    <w:p w14:paraId="13447F95" w14:textId="268F9EEF" w:rsidR="00884B4F" w:rsidRDefault="00884B4F" w:rsidP="0089417D">
      <w:pPr>
        <w:spacing w:line="360" w:lineRule="auto"/>
        <w:jc w:val="both"/>
      </w:pPr>
    </w:p>
    <w:p w14:paraId="0FD0E890" w14:textId="5C8AE85B" w:rsidR="0010323F" w:rsidRDefault="0010323F">
      <w:r>
        <w:br w:type="page"/>
      </w:r>
    </w:p>
    <w:p w14:paraId="5800E2B8" w14:textId="54167445" w:rsidR="00DD02C8" w:rsidRDefault="0010323F" w:rsidP="00CF623D">
      <w:pPr>
        <w:spacing w:line="360" w:lineRule="auto"/>
        <w:jc w:val="both"/>
        <w:rPr>
          <w:i/>
          <w:sz w:val="32"/>
        </w:rPr>
      </w:pPr>
      <w:r w:rsidRPr="0010323F">
        <w:rPr>
          <w:i/>
          <w:sz w:val="32"/>
        </w:rPr>
        <w:lastRenderedPageBreak/>
        <w:t>Bibliography</w:t>
      </w:r>
    </w:p>
    <w:p w14:paraId="7C77568D" w14:textId="77777777" w:rsidR="00C0295D" w:rsidRPr="0010323F" w:rsidRDefault="00C0295D" w:rsidP="00C0295D">
      <w:pPr>
        <w:pStyle w:val="NoSpacing"/>
      </w:pPr>
    </w:p>
    <w:p w14:paraId="6BDAB0DA" w14:textId="3B7CCD92" w:rsidR="00BD167C" w:rsidRPr="00BD167C" w:rsidRDefault="00BD167C" w:rsidP="00FF5703">
      <w:pPr>
        <w:spacing w:after="0" w:line="360" w:lineRule="auto"/>
        <w:ind w:left="720" w:hanging="720"/>
        <w:rPr>
          <w:rFonts w:eastAsia="Times New Roman" w:cs="Times New Roman"/>
          <w:szCs w:val="24"/>
          <w:lang w:eastAsia="en-AU"/>
        </w:rPr>
      </w:pPr>
      <w:r w:rsidRPr="00BD167C">
        <w:rPr>
          <w:rFonts w:eastAsia="Times New Roman" w:cs="Times New Roman"/>
          <w:szCs w:val="24"/>
          <w:lang w:eastAsia="en-AU"/>
        </w:rPr>
        <w:t xml:space="preserve">American Anthropological Association 2002, </w:t>
      </w:r>
      <w:r w:rsidRPr="00BD167C">
        <w:rPr>
          <w:rFonts w:eastAsia="Times New Roman" w:cs="Times New Roman"/>
          <w:i/>
          <w:szCs w:val="24"/>
          <w:lang w:eastAsia="en-AU"/>
        </w:rPr>
        <w:t>El Dorado Task For</w:t>
      </w:r>
      <w:r>
        <w:rPr>
          <w:rFonts w:eastAsia="Times New Roman" w:cs="Times New Roman"/>
          <w:i/>
          <w:szCs w:val="24"/>
          <w:lang w:eastAsia="en-AU"/>
        </w:rPr>
        <w:t>ce Papers</w:t>
      </w:r>
      <w:r>
        <w:rPr>
          <w:rFonts w:eastAsia="Times New Roman" w:cs="Times New Roman"/>
          <w:szCs w:val="24"/>
          <w:lang w:eastAsia="en-AU"/>
        </w:rPr>
        <w:t xml:space="preserve">, American Anthropological Association, Washington D.C. </w:t>
      </w:r>
    </w:p>
    <w:p w14:paraId="3485AC21" w14:textId="77777777" w:rsidR="00BD167C" w:rsidRPr="00BD167C" w:rsidRDefault="00BD167C" w:rsidP="00FF5703">
      <w:pPr>
        <w:spacing w:after="0" w:line="360" w:lineRule="auto"/>
        <w:ind w:left="720" w:hanging="720"/>
        <w:rPr>
          <w:rFonts w:eastAsia="Times New Roman" w:cs="Times New Roman"/>
          <w:szCs w:val="24"/>
          <w:lang w:eastAsia="en-AU"/>
        </w:rPr>
      </w:pPr>
    </w:p>
    <w:p w14:paraId="4A96D424" w14:textId="4E09DFC7" w:rsidR="00DD02C8" w:rsidRDefault="0010323F" w:rsidP="00FF5703">
      <w:pPr>
        <w:spacing w:after="0" w:line="360" w:lineRule="auto"/>
        <w:ind w:left="720" w:hanging="720"/>
        <w:rPr>
          <w:rFonts w:eastAsia="Times New Roman" w:cs="Times New Roman"/>
          <w:szCs w:val="24"/>
          <w:lang w:eastAsia="en-AU"/>
        </w:rPr>
      </w:pPr>
      <w:proofErr w:type="spellStart"/>
      <w:r>
        <w:rPr>
          <w:rFonts w:eastAsia="Times New Roman" w:cs="Times New Roman"/>
          <w:szCs w:val="24"/>
          <w:lang w:eastAsia="en-AU"/>
        </w:rPr>
        <w:t>Asad</w:t>
      </w:r>
      <w:proofErr w:type="spellEnd"/>
      <w:r>
        <w:rPr>
          <w:rFonts w:eastAsia="Times New Roman" w:cs="Times New Roman"/>
          <w:szCs w:val="24"/>
          <w:lang w:eastAsia="en-AU"/>
        </w:rPr>
        <w:t xml:space="preserve">, T 1973, ‘Introduction’, in T </w:t>
      </w:r>
      <w:proofErr w:type="spellStart"/>
      <w:r>
        <w:rPr>
          <w:rFonts w:eastAsia="Times New Roman" w:cs="Times New Roman"/>
          <w:szCs w:val="24"/>
          <w:lang w:eastAsia="en-AU"/>
        </w:rPr>
        <w:t>Asad</w:t>
      </w:r>
      <w:proofErr w:type="spellEnd"/>
      <w:r>
        <w:rPr>
          <w:rFonts w:eastAsia="Times New Roman" w:cs="Times New Roman"/>
          <w:szCs w:val="24"/>
          <w:lang w:eastAsia="en-AU"/>
        </w:rPr>
        <w:t xml:space="preserve"> (ed), </w:t>
      </w:r>
      <w:r>
        <w:rPr>
          <w:rFonts w:eastAsia="Times New Roman" w:cs="Times New Roman"/>
          <w:i/>
          <w:szCs w:val="24"/>
          <w:lang w:eastAsia="en-AU"/>
        </w:rPr>
        <w:t>Anthropology and the colonial encounter</w:t>
      </w:r>
      <w:r>
        <w:rPr>
          <w:rFonts w:eastAsia="Times New Roman" w:cs="Times New Roman"/>
          <w:szCs w:val="24"/>
          <w:lang w:eastAsia="en-AU"/>
        </w:rPr>
        <w:t xml:space="preserve">, Ithaca Press, London, pp 9-20. </w:t>
      </w:r>
    </w:p>
    <w:p w14:paraId="64F9B76E" w14:textId="77777777" w:rsidR="0010323F" w:rsidRPr="0010323F" w:rsidRDefault="0010323F" w:rsidP="00FF5703">
      <w:pPr>
        <w:spacing w:after="0" w:line="360" w:lineRule="auto"/>
        <w:ind w:left="720" w:hanging="720"/>
        <w:rPr>
          <w:rFonts w:eastAsia="Times New Roman" w:cs="Times New Roman"/>
          <w:szCs w:val="24"/>
          <w:lang w:eastAsia="en-AU"/>
        </w:rPr>
      </w:pPr>
    </w:p>
    <w:p w14:paraId="1B1D6B7D" w14:textId="1696E977" w:rsidR="0010323F" w:rsidRDefault="0010323F" w:rsidP="00FF5703">
      <w:pPr>
        <w:spacing w:after="0" w:line="360" w:lineRule="auto"/>
        <w:ind w:left="720" w:hanging="720"/>
        <w:rPr>
          <w:rFonts w:eastAsia="Times New Roman" w:cs="Times New Roman"/>
          <w:szCs w:val="24"/>
          <w:lang w:eastAsia="en-AU"/>
        </w:rPr>
      </w:pPr>
      <w:r>
        <w:rPr>
          <w:rFonts w:eastAsia="Times New Roman" w:cs="Times New Roman"/>
          <w:szCs w:val="24"/>
          <w:lang w:eastAsia="en-AU"/>
        </w:rPr>
        <w:t xml:space="preserve">Beck, S &amp; Maida, CA 2013, ‘Introduction: towards engaged anthropology’, in S Beck and CA Maida (eds), </w:t>
      </w:r>
      <w:r>
        <w:rPr>
          <w:rFonts w:eastAsia="Times New Roman" w:cs="Times New Roman"/>
          <w:i/>
          <w:iCs/>
          <w:szCs w:val="24"/>
          <w:lang w:eastAsia="en-AU"/>
        </w:rPr>
        <w:t>Towards engaged anthropology</w:t>
      </w:r>
      <w:r>
        <w:rPr>
          <w:rFonts w:eastAsia="Times New Roman" w:cs="Times New Roman"/>
          <w:szCs w:val="24"/>
          <w:lang w:eastAsia="en-AU"/>
        </w:rPr>
        <w:t xml:space="preserve">, </w:t>
      </w:r>
      <w:proofErr w:type="spellStart"/>
      <w:r>
        <w:rPr>
          <w:rFonts w:eastAsia="Times New Roman" w:cs="Times New Roman"/>
          <w:szCs w:val="24"/>
          <w:lang w:eastAsia="en-AU"/>
        </w:rPr>
        <w:t>Berghahn</w:t>
      </w:r>
      <w:proofErr w:type="spellEnd"/>
      <w:r>
        <w:rPr>
          <w:rFonts w:eastAsia="Times New Roman" w:cs="Times New Roman"/>
          <w:szCs w:val="24"/>
          <w:lang w:eastAsia="en-AU"/>
        </w:rPr>
        <w:t xml:space="preserve"> Books, Oxford, NY, pp. 1-14. </w:t>
      </w:r>
    </w:p>
    <w:p w14:paraId="36873FC4" w14:textId="77777777" w:rsidR="0010323F" w:rsidRPr="0010323F" w:rsidRDefault="0010323F" w:rsidP="00FF5703">
      <w:pPr>
        <w:spacing w:after="0" w:line="360" w:lineRule="auto"/>
        <w:ind w:left="720" w:hanging="720"/>
        <w:rPr>
          <w:rFonts w:eastAsia="Times New Roman" w:cs="Times New Roman"/>
          <w:szCs w:val="24"/>
          <w:lang w:eastAsia="en-AU"/>
        </w:rPr>
      </w:pPr>
    </w:p>
    <w:p w14:paraId="3F116ABB" w14:textId="024F73D4" w:rsidR="00DD02C8" w:rsidRDefault="0010323F" w:rsidP="00FF5703">
      <w:pPr>
        <w:spacing w:after="0" w:line="360" w:lineRule="auto"/>
        <w:ind w:left="720" w:hanging="720"/>
        <w:rPr>
          <w:rFonts w:eastAsia="Times New Roman" w:cs="Times New Roman"/>
          <w:szCs w:val="24"/>
          <w:lang w:eastAsia="en-AU"/>
        </w:rPr>
      </w:pPr>
      <w:r>
        <w:rPr>
          <w:rFonts w:eastAsia="Times New Roman" w:cs="Times New Roman"/>
          <w:szCs w:val="24"/>
          <w:lang w:eastAsia="en-AU"/>
        </w:rPr>
        <w:t xml:space="preserve">Briones, C 2016, ‘Research through collaborative relationships: a middle ground for reciprocal transformations and translations?’, </w:t>
      </w:r>
      <w:r>
        <w:rPr>
          <w:rFonts w:eastAsia="Times New Roman" w:cs="Times New Roman"/>
          <w:i/>
          <w:iCs/>
          <w:szCs w:val="24"/>
          <w:lang w:eastAsia="en-AU"/>
        </w:rPr>
        <w:t>Collaborative Anthropologies</w:t>
      </w:r>
      <w:r>
        <w:rPr>
          <w:rFonts w:eastAsia="Times New Roman" w:cs="Times New Roman"/>
          <w:szCs w:val="24"/>
          <w:lang w:eastAsia="en-AU"/>
        </w:rPr>
        <w:t>, vol. 9, no. 1/2, pp. 32–39.</w:t>
      </w:r>
    </w:p>
    <w:p w14:paraId="3D1B35E7" w14:textId="77777777" w:rsidR="0010323F" w:rsidRPr="0010323F" w:rsidRDefault="0010323F" w:rsidP="00FF5703">
      <w:pPr>
        <w:spacing w:after="0" w:line="360" w:lineRule="auto"/>
        <w:ind w:left="720" w:hanging="720"/>
        <w:rPr>
          <w:rFonts w:eastAsia="Times New Roman" w:cs="Times New Roman"/>
          <w:szCs w:val="24"/>
          <w:lang w:eastAsia="en-AU"/>
        </w:rPr>
      </w:pPr>
    </w:p>
    <w:p w14:paraId="16CD1659" w14:textId="45A92CBB" w:rsidR="0010323F" w:rsidRDefault="0010323F" w:rsidP="00FF5703">
      <w:pPr>
        <w:spacing w:after="0" w:line="360" w:lineRule="auto"/>
        <w:ind w:left="720" w:hanging="720"/>
        <w:rPr>
          <w:rFonts w:eastAsia="Times New Roman" w:cs="Times New Roman"/>
          <w:szCs w:val="24"/>
          <w:lang w:eastAsia="en-AU"/>
        </w:rPr>
      </w:pPr>
      <w:r>
        <w:rPr>
          <w:rFonts w:eastAsia="Times New Roman" w:cs="Times New Roman"/>
          <w:szCs w:val="24"/>
          <w:lang w:eastAsia="en-AU"/>
        </w:rPr>
        <w:t xml:space="preserve">Clifford, J &amp; Marcus, GE 1986, </w:t>
      </w:r>
      <w:r>
        <w:rPr>
          <w:rFonts w:eastAsia="Times New Roman" w:cs="Times New Roman"/>
          <w:i/>
          <w:szCs w:val="24"/>
          <w:lang w:eastAsia="en-AU"/>
        </w:rPr>
        <w:t>Writing culture: the poetics and politics of ethnography</w:t>
      </w:r>
      <w:r>
        <w:rPr>
          <w:rFonts w:eastAsia="Times New Roman" w:cs="Times New Roman"/>
          <w:szCs w:val="24"/>
          <w:lang w:eastAsia="en-AU"/>
        </w:rPr>
        <w:t xml:space="preserve">, </w:t>
      </w:r>
      <w:r w:rsidR="0018420C">
        <w:rPr>
          <w:rFonts w:eastAsia="Times New Roman" w:cs="Times New Roman"/>
          <w:szCs w:val="24"/>
          <w:lang w:eastAsia="en-AU"/>
        </w:rPr>
        <w:t xml:space="preserve">University of California Press, Berkeley, CA. </w:t>
      </w:r>
    </w:p>
    <w:p w14:paraId="0625EB70" w14:textId="77C5D192" w:rsidR="00A82FA7" w:rsidRDefault="00A82FA7" w:rsidP="00FF5703">
      <w:pPr>
        <w:spacing w:after="0" w:line="360" w:lineRule="auto"/>
        <w:ind w:left="720" w:hanging="720"/>
        <w:rPr>
          <w:rFonts w:eastAsia="Times New Roman" w:cs="Times New Roman"/>
          <w:szCs w:val="24"/>
          <w:lang w:eastAsia="en-AU"/>
        </w:rPr>
      </w:pPr>
    </w:p>
    <w:p w14:paraId="1A66E4D3" w14:textId="77777777" w:rsidR="00A82FA7" w:rsidRDefault="00A82FA7" w:rsidP="00FF5703">
      <w:pPr>
        <w:spacing w:after="0" w:line="360" w:lineRule="auto"/>
        <w:ind w:left="720" w:hanging="720"/>
        <w:rPr>
          <w:rFonts w:eastAsia="Times New Roman" w:cs="Times New Roman"/>
          <w:szCs w:val="24"/>
          <w:lang w:eastAsia="en-AU"/>
        </w:rPr>
      </w:pPr>
      <w:proofErr w:type="spellStart"/>
      <w:r>
        <w:rPr>
          <w:rFonts w:eastAsia="Times New Roman" w:cs="Times New Roman"/>
          <w:szCs w:val="24"/>
          <w:lang w:eastAsia="en-AU"/>
        </w:rPr>
        <w:t>Fluehr-Lobban</w:t>
      </w:r>
      <w:proofErr w:type="spellEnd"/>
      <w:r>
        <w:rPr>
          <w:rFonts w:eastAsia="Times New Roman" w:cs="Times New Roman"/>
          <w:szCs w:val="24"/>
          <w:lang w:eastAsia="en-AU"/>
        </w:rPr>
        <w:t xml:space="preserve">, C 2008, ‘Collaborative anthropology as twenty-first-century ethical anthropology’, </w:t>
      </w:r>
      <w:r>
        <w:rPr>
          <w:rFonts w:eastAsia="Times New Roman" w:cs="Times New Roman"/>
          <w:i/>
          <w:iCs/>
          <w:szCs w:val="24"/>
          <w:lang w:eastAsia="en-AU"/>
        </w:rPr>
        <w:t>Collaborative Anthropologies</w:t>
      </w:r>
      <w:r>
        <w:rPr>
          <w:rFonts w:eastAsia="Times New Roman" w:cs="Times New Roman"/>
          <w:szCs w:val="24"/>
          <w:lang w:eastAsia="en-AU"/>
        </w:rPr>
        <w:t>, vol. 1, no. 1, pp. 175–182.</w:t>
      </w:r>
    </w:p>
    <w:p w14:paraId="7B05BC7B" w14:textId="4D139642" w:rsidR="00A82FA7" w:rsidRDefault="00A82FA7" w:rsidP="00FF5703">
      <w:pPr>
        <w:spacing w:after="0" w:line="360" w:lineRule="auto"/>
        <w:ind w:left="720" w:hanging="720"/>
        <w:rPr>
          <w:rFonts w:eastAsia="Times New Roman" w:cs="Times New Roman"/>
          <w:szCs w:val="24"/>
          <w:lang w:eastAsia="en-AU"/>
        </w:rPr>
      </w:pPr>
    </w:p>
    <w:p w14:paraId="7F41B61C" w14:textId="49C692FE" w:rsidR="00A82FA7" w:rsidRDefault="00A82FA7" w:rsidP="00FF5703">
      <w:pPr>
        <w:spacing w:after="0" w:line="360" w:lineRule="auto"/>
        <w:ind w:left="720" w:hanging="720"/>
        <w:rPr>
          <w:rFonts w:eastAsia="Times New Roman" w:cs="Times New Roman"/>
          <w:szCs w:val="24"/>
          <w:lang w:eastAsia="en-AU"/>
        </w:rPr>
      </w:pPr>
      <w:r>
        <w:rPr>
          <w:rFonts w:eastAsia="Times New Roman" w:cs="Times New Roman"/>
          <w:szCs w:val="24"/>
          <w:lang w:eastAsia="en-AU"/>
        </w:rPr>
        <w:t xml:space="preserve">Gross, D &amp; Plattner, S 2002, ‘Anthropology as social work: collaborative models of anthropological research’, </w:t>
      </w:r>
      <w:r>
        <w:rPr>
          <w:rFonts w:eastAsia="Times New Roman" w:cs="Times New Roman"/>
          <w:i/>
          <w:iCs/>
          <w:szCs w:val="24"/>
          <w:lang w:eastAsia="en-AU"/>
        </w:rPr>
        <w:t>Anthropology News</w:t>
      </w:r>
      <w:r>
        <w:rPr>
          <w:rFonts w:eastAsia="Times New Roman" w:cs="Times New Roman"/>
          <w:szCs w:val="24"/>
          <w:lang w:eastAsia="en-AU"/>
        </w:rPr>
        <w:t>, vol. 43, no. 8, p. 4.</w:t>
      </w:r>
    </w:p>
    <w:p w14:paraId="6201E3DA" w14:textId="7D8F0A44" w:rsidR="00F7172A" w:rsidRDefault="00F7172A" w:rsidP="00FF5703">
      <w:pPr>
        <w:spacing w:after="0" w:line="360" w:lineRule="auto"/>
        <w:ind w:left="720" w:hanging="720"/>
        <w:rPr>
          <w:rFonts w:eastAsia="Times New Roman" w:cs="Times New Roman"/>
          <w:szCs w:val="24"/>
          <w:lang w:eastAsia="en-AU"/>
        </w:rPr>
      </w:pPr>
    </w:p>
    <w:p w14:paraId="7837AFC5" w14:textId="77777777" w:rsidR="00F7172A" w:rsidRDefault="00F7172A" w:rsidP="00FF5703">
      <w:pPr>
        <w:spacing w:after="0" w:line="360" w:lineRule="auto"/>
        <w:ind w:left="720" w:hanging="720"/>
        <w:rPr>
          <w:rFonts w:eastAsia="Times New Roman" w:cs="Times New Roman"/>
          <w:szCs w:val="24"/>
          <w:lang w:eastAsia="en-AU"/>
        </w:rPr>
      </w:pPr>
      <w:r>
        <w:rPr>
          <w:rFonts w:eastAsia="Times New Roman" w:cs="Times New Roman"/>
          <w:szCs w:val="24"/>
          <w:lang w:eastAsia="en-AU"/>
        </w:rPr>
        <w:t xml:space="preserve">Hayley, BD 2009, ‘Is collaborative anthropology better?’, </w:t>
      </w:r>
      <w:r>
        <w:rPr>
          <w:rFonts w:eastAsia="Times New Roman" w:cs="Times New Roman"/>
          <w:i/>
          <w:iCs/>
          <w:szCs w:val="24"/>
          <w:lang w:eastAsia="en-AU"/>
        </w:rPr>
        <w:t>Current Anthropology</w:t>
      </w:r>
      <w:r>
        <w:rPr>
          <w:rFonts w:eastAsia="Times New Roman" w:cs="Times New Roman"/>
          <w:szCs w:val="24"/>
          <w:lang w:eastAsia="en-AU"/>
        </w:rPr>
        <w:t>, vol. 50, no. 6, pp. 867–868.</w:t>
      </w:r>
    </w:p>
    <w:p w14:paraId="7389DE5E" w14:textId="13ACA8DC" w:rsidR="00F7172A" w:rsidRDefault="00F7172A" w:rsidP="00FF5703">
      <w:pPr>
        <w:spacing w:after="0" w:line="360" w:lineRule="auto"/>
        <w:ind w:left="720" w:hanging="720"/>
        <w:rPr>
          <w:rFonts w:eastAsia="Times New Roman" w:cs="Times New Roman"/>
          <w:szCs w:val="24"/>
          <w:lang w:eastAsia="en-AU"/>
        </w:rPr>
      </w:pPr>
    </w:p>
    <w:p w14:paraId="18F3EC8C" w14:textId="5B607B62" w:rsidR="00F7172A" w:rsidRDefault="00F7172A" w:rsidP="00FF5703">
      <w:pPr>
        <w:spacing w:after="0" w:line="360" w:lineRule="auto"/>
        <w:ind w:left="720" w:hanging="720"/>
        <w:rPr>
          <w:rFonts w:eastAsia="Times New Roman" w:cs="Times New Roman"/>
          <w:szCs w:val="24"/>
          <w:lang w:eastAsia="en-AU"/>
        </w:rPr>
      </w:pPr>
      <w:r>
        <w:rPr>
          <w:rFonts w:eastAsia="Times New Roman" w:cs="Times New Roman"/>
          <w:szCs w:val="24"/>
          <w:lang w:eastAsia="en-AU"/>
        </w:rPr>
        <w:t xml:space="preserve">Holmes, DR &amp; Marcus, GE 2008, ‘Collaboration today and the re-imagination of the classic scene of fieldwork encounter’, </w:t>
      </w:r>
      <w:r>
        <w:rPr>
          <w:rFonts w:eastAsia="Times New Roman" w:cs="Times New Roman"/>
          <w:i/>
          <w:iCs/>
          <w:szCs w:val="24"/>
          <w:lang w:eastAsia="en-AU"/>
        </w:rPr>
        <w:t>Collaborative Anthropologies</w:t>
      </w:r>
      <w:r>
        <w:rPr>
          <w:rFonts w:eastAsia="Times New Roman" w:cs="Times New Roman"/>
          <w:szCs w:val="24"/>
          <w:lang w:eastAsia="en-AU"/>
        </w:rPr>
        <w:t>, vol. 1, pp. 81–101.</w:t>
      </w:r>
    </w:p>
    <w:p w14:paraId="61D6C887" w14:textId="52A51307" w:rsidR="00F7172A" w:rsidRDefault="00F7172A" w:rsidP="00FF5703">
      <w:pPr>
        <w:spacing w:after="0" w:line="360" w:lineRule="auto"/>
        <w:ind w:left="720" w:hanging="720"/>
        <w:rPr>
          <w:rFonts w:eastAsia="Times New Roman" w:cs="Times New Roman"/>
          <w:szCs w:val="24"/>
          <w:lang w:eastAsia="en-AU"/>
        </w:rPr>
      </w:pPr>
    </w:p>
    <w:p w14:paraId="6F551CA4" w14:textId="4945F89F" w:rsidR="00E82508" w:rsidRDefault="00E82508" w:rsidP="00FF5703">
      <w:pPr>
        <w:spacing w:after="0" w:line="360" w:lineRule="auto"/>
        <w:ind w:left="720" w:hanging="720"/>
        <w:rPr>
          <w:rFonts w:eastAsia="Times New Roman" w:cs="Times New Roman"/>
          <w:szCs w:val="24"/>
          <w:lang w:eastAsia="en-AU"/>
        </w:rPr>
      </w:pPr>
      <w:r>
        <w:rPr>
          <w:rFonts w:eastAsia="Times New Roman" w:cs="Times New Roman"/>
          <w:szCs w:val="24"/>
          <w:lang w:eastAsia="en-AU"/>
        </w:rPr>
        <w:t xml:space="preserve">Howitt &amp; Stevens 2000, ‘Cross-cultural research: ethics, methods and relationships’, in I Hay, </w:t>
      </w:r>
      <w:r>
        <w:rPr>
          <w:rFonts w:eastAsia="Times New Roman" w:cs="Times New Roman"/>
          <w:i/>
          <w:iCs/>
          <w:szCs w:val="24"/>
          <w:lang w:eastAsia="en-AU"/>
        </w:rPr>
        <w:t>Qualitative Research Methods in Human Geography</w:t>
      </w:r>
      <w:r>
        <w:rPr>
          <w:rFonts w:eastAsia="Times New Roman" w:cs="Times New Roman"/>
          <w:szCs w:val="24"/>
          <w:lang w:eastAsia="en-AU"/>
        </w:rPr>
        <w:t xml:space="preserve">, 3rd edition, Oxford University Press, Oxford, pp. 41-68. </w:t>
      </w:r>
    </w:p>
    <w:p w14:paraId="1C5FDACF" w14:textId="2459F205" w:rsidR="00A94A3D" w:rsidRDefault="00A94A3D" w:rsidP="00FF5703">
      <w:pPr>
        <w:spacing w:after="0" w:line="360" w:lineRule="auto"/>
        <w:ind w:left="720" w:hanging="720"/>
        <w:rPr>
          <w:rFonts w:eastAsia="Times New Roman" w:cs="Times New Roman"/>
          <w:szCs w:val="24"/>
          <w:lang w:eastAsia="en-AU"/>
        </w:rPr>
      </w:pPr>
    </w:p>
    <w:p w14:paraId="62D4A377" w14:textId="313BE2D0" w:rsidR="00A94A3D" w:rsidRDefault="00A94A3D" w:rsidP="00FF5703">
      <w:pPr>
        <w:spacing w:after="0" w:line="360" w:lineRule="auto"/>
        <w:ind w:left="720" w:hanging="720"/>
        <w:rPr>
          <w:rFonts w:eastAsia="Times New Roman" w:cs="Times New Roman"/>
          <w:szCs w:val="24"/>
          <w:lang w:eastAsia="en-AU"/>
        </w:rPr>
      </w:pPr>
      <w:r>
        <w:rPr>
          <w:rFonts w:eastAsia="Times New Roman" w:cs="Times New Roman"/>
          <w:szCs w:val="24"/>
          <w:lang w:eastAsia="en-AU"/>
        </w:rPr>
        <w:t xml:space="preserve">Kirsch, S 2006, </w:t>
      </w:r>
      <w:r>
        <w:rPr>
          <w:rFonts w:eastAsia="Times New Roman" w:cs="Times New Roman"/>
          <w:i/>
          <w:iCs/>
          <w:szCs w:val="24"/>
          <w:lang w:eastAsia="en-AU"/>
        </w:rPr>
        <w:t>Reverse Anthropology</w:t>
      </w:r>
      <w:r>
        <w:rPr>
          <w:rFonts w:eastAsia="Times New Roman" w:cs="Times New Roman"/>
          <w:szCs w:val="24"/>
          <w:lang w:eastAsia="en-AU"/>
        </w:rPr>
        <w:t>, Stanford University Press, Stanford, CA.</w:t>
      </w:r>
    </w:p>
    <w:p w14:paraId="61790686" w14:textId="7AFC2F06" w:rsidR="009B5212" w:rsidRDefault="009B5212" w:rsidP="00FF5703">
      <w:pPr>
        <w:spacing w:after="0" w:line="360" w:lineRule="auto"/>
        <w:ind w:left="720" w:hanging="720"/>
        <w:rPr>
          <w:rFonts w:eastAsia="Times New Roman" w:cs="Times New Roman"/>
          <w:szCs w:val="24"/>
          <w:lang w:eastAsia="en-AU"/>
        </w:rPr>
      </w:pPr>
    </w:p>
    <w:p w14:paraId="0171AA3C" w14:textId="79D13492" w:rsidR="009B5212" w:rsidRDefault="009B5212" w:rsidP="00FF5703">
      <w:pPr>
        <w:spacing w:after="0" w:line="360" w:lineRule="auto"/>
        <w:ind w:left="720" w:hanging="720"/>
        <w:rPr>
          <w:rFonts w:eastAsia="Times New Roman" w:cs="Times New Roman"/>
          <w:szCs w:val="24"/>
          <w:lang w:eastAsia="en-AU"/>
        </w:rPr>
      </w:pPr>
      <w:r>
        <w:rPr>
          <w:rFonts w:eastAsia="Times New Roman" w:cs="Times New Roman"/>
          <w:szCs w:val="24"/>
          <w:lang w:eastAsia="en-AU"/>
        </w:rPr>
        <w:t xml:space="preserve">Kirsch, S 2018, </w:t>
      </w:r>
      <w:r>
        <w:rPr>
          <w:rFonts w:eastAsia="Times New Roman" w:cs="Times New Roman"/>
          <w:i/>
          <w:iCs/>
          <w:szCs w:val="24"/>
          <w:lang w:eastAsia="en-AU"/>
        </w:rPr>
        <w:t>Engaged Anthropology</w:t>
      </w:r>
      <w:r>
        <w:rPr>
          <w:rFonts w:eastAsia="Times New Roman" w:cs="Times New Roman"/>
          <w:szCs w:val="24"/>
          <w:lang w:eastAsia="en-AU"/>
        </w:rPr>
        <w:t xml:space="preserve">, University of California Press, Oakland, CA. </w:t>
      </w:r>
    </w:p>
    <w:p w14:paraId="69DAB1C2" w14:textId="05E24EE6" w:rsidR="002174FE" w:rsidRDefault="002174FE" w:rsidP="00FF5703">
      <w:pPr>
        <w:spacing w:after="0" w:line="360" w:lineRule="auto"/>
        <w:ind w:left="720" w:hanging="720"/>
        <w:rPr>
          <w:rFonts w:eastAsia="Times New Roman" w:cs="Times New Roman"/>
          <w:szCs w:val="24"/>
          <w:lang w:eastAsia="en-AU"/>
        </w:rPr>
      </w:pPr>
    </w:p>
    <w:p w14:paraId="2697D3F2" w14:textId="6EA24D8D" w:rsidR="002174FE" w:rsidRDefault="002174FE" w:rsidP="00FF5703">
      <w:pPr>
        <w:spacing w:after="0" w:line="360" w:lineRule="auto"/>
        <w:ind w:left="720" w:hanging="720"/>
        <w:rPr>
          <w:rFonts w:eastAsia="Times New Roman" w:cs="Times New Roman"/>
          <w:szCs w:val="24"/>
          <w:lang w:eastAsia="en-AU"/>
        </w:rPr>
      </w:pPr>
      <w:r>
        <w:rPr>
          <w:rFonts w:eastAsia="Times New Roman" w:cs="Times New Roman"/>
          <w:szCs w:val="24"/>
          <w:lang w:eastAsia="en-AU"/>
        </w:rPr>
        <w:t xml:space="preserve">Klein, RD 1983, ‘How to do what we want to do: thoughts about feminist methodology’, in G Bowles and RD Klein (eds), </w:t>
      </w:r>
      <w:r>
        <w:rPr>
          <w:rFonts w:eastAsia="Times New Roman" w:cs="Times New Roman"/>
          <w:i/>
          <w:szCs w:val="24"/>
          <w:lang w:eastAsia="en-AU"/>
        </w:rPr>
        <w:t>Theories of women’s studies</w:t>
      </w:r>
      <w:r>
        <w:rPr>
          <w:rFonts w:eastAsia="Times New Roman" w:cs="Times New Roman"/>
          <w:szCs w:val="24"/>
          <w:lang w:eastAsia="en-AU"/>
        </w:rPr>
        <w:t xml:space="preserve">, Routledge, London, pp. 88-104. </w:t>
      </w:r>
    </w:p>
    <w:p w14:paraId="638614CE" w14:textId="29D902F8" w:rsidR="00A73755" w:rsidRDefault="00A73755" w:rsidP="00FF5703">
      <w:pPr>
        <w:spacing w:after="0" w:line="360" w:lineRule="auto"/>
        <w:ind w:left="720" w:hanging="720"/>
        <w:rPr>
          <w:rFonts w:eastAsia="Times New Roman" w:cs="Times New Roman"/>
          <w:szCs w:val="24"/>
          <w:lang w:eastAsia="en-AU"/>
        </w:rPr>
      </w:pPr>
    </w:p>
    <w:p w14:paraId="0553BFA9" w14:textId="641CE5CC" w:rsidR="00A73755" w:rsidRDefault="00A73755" w:rsidP="00FF5703">
      <w:pPr>
        <w:spacing w:after="0" w:line="360" w:lineRule="auto"/>
        <w:ind w:left="720" w:hanging="720"/>
        <w:rPr>
          <w:rFonts w:eastAsia="Times New Roman" w:cs="Times New Roman"/>
          <w:szCs w:val="24"/>
          <w:lang w:eastAsia="en-AU"/>
        </w:rPr>
      </w:pPr>
      <w:r>
        <w:rPr>
          <w:rFonts w:eastAsia="Times New Roman" w:cs="Times New Roman"/>
          <w:szCs w:val="24"/>
          <w:lang w:eastAsia="en-AU"/>
        </w:rPr>
        <w:t xml:space="preserve">Lassiter, LE 2004, </w:t>
      </w:r>
      <w:r w:rsidR="00E8251D">
        <w:rPr>
          <w:rFonts w:eastAsia="Times New Roman" w:cs="Times New Roman"/>
          <w:szCs w:val="24"/>
          <w:lang w:eastAsia="en-AU"/>
        </w:rPr>
        <w:t xml:space="preserve">‘Collaborative ethnography’, </w:t>
      </w:r>
      <w:proofErr w:type="spellStart"/>
      <w:r w:rsidR="00E8251D">
        <w:rPr>
          <w:rFonts w:eastAsia="Times New Roman" w:cs="Times New Roman"/>
          <w:i/>
          <w:szCs w:val="24"/>
          <w:lang w:eastAsia="en-AU"/>
        </w:rPr>
        <w:t>Anthronotes</w:t>
      </w:r>
      <w:proofErr w:type="spellEnd"/>
      <w:r w:rsidR="00E8251D">
        <w:rPr>
          <w:rFonts w:eastAsia="Times New Roman" w:cs="Times New Roman"/>
          <w:szCs w:val="24"/>
          <w:lang w:eastAsia="en-AU"/>
        </w:rPr>
        <w:t xml:space="preserve">, vol. 25, no. 1, pp.1-9. </w:t>
      </w:r>
    </w:p>
    <w:p w14:paraId="43A8A44B" w14:textId="37B39B47" w:rsidR="008626EC" w:rsidRDefault="008626EC" w:rsidP="00FF5703">
      <w:pPr>
        <w:spacing w:after="0" w:line="360" w:lineRule="auto"/>
        <w:ind w:left="720" w:hanging="720"/>
        <w:rPr>
          <w:rFonts w:eastAsia="Times New Roman" w:cs="Times New Roman"/>
          <w:szCs w:val="24"/>
          <w:lang w:eastAsia="en-AU"/>
        </w:rPr>
      </w:pPr>
    </w:p>
    <w:p w14:paraId="09CC803E" w14:textId="77777777" w:rsidR="008626EC" w:rsidRDefault="008626EC" w:rsidP="00FF5703">
      <w:pPr>
        <w:spacing w:after="0" w:line="360" w:lineRule="auto"/>
        <w:ind w:left="720" w:hanging="720"/>
        <w:rPr>
          <w:rFonts w:eastAsia="Times New Roman" w:cs="Times New Roman"/>
          <w:szCs w:val="24"/>
          <w:lang w:eastAsia="en-AU"/>
        </w:rPr>
      </w:pPr>
      <w:r>
        <w:rPr>
          <w:rFonts w:eastAsia="Times New Roman" w:cs="Times New Roman"/>
          <w:szCs w:val="24"/>
          <w:lang w:eastAsia="en-AU"/>
        </w:rPr>
        <w:t xml:space="preserve">Lassiter, L 2005a, ‘Collaborative ethnography and public anthropology’, </w:t>
      </w:r>
      <w:r>
        <w:rPr>
          <w:rFonts w:eastAsia="Times New Roman" w:cs="Times New Roman"/>
          <w:i/>
          <w:iCs/>
          <w:szCs w:val="24"/>
          <w:lang w:eastAsia="en-AU"/>
        </w:rPr>
        <w:t>Current Anthropology</w:t>
      </w:r>
      <w:r>
        <w:rPr>
          <w:rFonts w:eastAsia="Times New Roman" w:cs="Times New Roman"/>
          <w:szCs w:val="24"/>
          <w:lang w:eastAsia="en-AU"/>
        </w:rPr>
        <w:t>, vol. 46, no. 1, pp. 83–106.</w:t>
      </w:r>
    </w:p>
    <w:p w14:paraId="0058B7F5" w14:textId="16A8F197" w:rsidR="008626EC" w:rsidRDefault="008626EC" w:rsidP="00FF5703">
      <w:pPr>
        <w:spacing w:after="0" w:line="360" w:lineRule="auto"/>
        <w:ind w:left="720" w:hanging="720"/>
        <w:rPr>
          <w:rFonts w:eastAsia="Times New Roman" w:cs="Times New Roman"/>
          <w:szCs w:val="24"/>
          <w:lang w:eastAsia="en-AU"/>
        </w:rPr>
      </w:pPr>
    </w:p>
    <w:p w14:paraId="48ED53D4" w14:textId="77777777" w:rsidR="008626EC" w:rsidRDefault="008626EC" w:rsidP="00FF5703">
      <w:pPr>
        <w:spacing w:after="0" w:line="360" w:lineRule="auto"/>
        <w:ind w:left="720" w:hanging="720"/>
        <w:rPr>
          <w:rFonts w:eastAsia="Times New Roman" w:cs="Times New Roman"/>
          <w:szCs w:val="24"/>
          <w:lang w:eastAsia="en-AU"/>
        </w:rPr>
      </w:pPr>
      <w:r>
        <w:rPr>
          <w:rFonts w:eastAsia="Times New Roman" w:cs="Times New Roman"/>
          <w:szCs w:val="24"/>
          <w:lang w:eastAsia="en-AU"/>
        </w:rPr>
        <w:t xml:space="preserve">Lassiter, LE 2005b, </w:t>
      </w:r>
      <w:r>
        <w:rPr>
          <w:rFonts w:eastAsia="Times New Roman" w:cs="Times New Roman"/>
          <w:i/>
          <w:iCs/>
          <w:szCs w:val="24"/>
          <w:lang w:eastAsia="en-AU"/>
        </w:rPr>
        <w:t>The Chicago guide to collaborative ethnography</w:t>
      </w:r>
      <w:r>
        <w:rPr>
          <w:rFonts w:eastAsia="Times New Roman" w:cs="Times New Roman"/>
          <w:szCs w:val="24"/>
          <w:lang w:eastAsia="en-AU"/>
        </w:rPr>
        <w:t>, The University of Chicago Press, Chicago.</w:t>
      </w:r>
    </w:p>
    <w:p w14:paraId="6A48FDBA" w14:textId="597E12D6" w:rsidR="008626EC" w:rsidRDefault="008626EC" w:rsidP="00FF5703">
      <w:pPr>
        <w:spacing w:after="0" w:line="360" w:lineRule="auto"/>
        <w:ind w:left="720" w:hanging="720"/>
        <w:rPr>
          <w:rFonts w:eastAsia="Times New Roman" w:cs="Times New Roman"/>
          <w:szCs w:val="24"/>
          <w:lang w:eastAsia="en-AU"/>
        </w:rPr>
      </w:pPr>
    </w:p>
    <w:p w14:paraId="5E69DA70" w14:textId="61E9DB99" w:rsidR="00452695" w:rsidRDefault="00452695" w:rsidP="00FF5703">
      <w:pPr>
        <w:spacing w:after="0" w:line="360" w:lineRule="auto"/>
        <w:ind w:left="720" w:hanging="720"/>
        <w:rPr>
          <w:rFonts w:eastAsia="Times New Roman" w:cs="Times New Roman"/>
          <w:szCs w:val="24"/>
          <w:lang w:eastAsia="en-AU"/>
        </w:rPr>
      </w:pPr>
      <w:r>
        <w:rPr>
          <w:rFonts w:eastAsia="Times New Roman" w:cs="Times New Roman"/>
          <w:szCs w:val="24"/>
          <w:lang w:eastAsia="en-AU"/>
        </w:rPr>
        <w:t xml:space="preserve">Lassiter, LE 2008, ‘Moving past public anthropology and doing collaborative research’, </w:t>
      </w:r>
      <w:r>
        <w:rPr>
          <w:rFonts w:eastAsia="Times New Roman" w:cs="Times New Roman"/>
          <w:i/>
          <w:iCs/>
          <w:szCs w:val="24"/>
          <w:lang w:eastAsia="en-AU"/>
        </w:rPr>
        <w:t>NAPA Bulletin</w:t>
      </w:r>
      <w:r>
        <w:rPr>
          <w:rFonts w:eastAsia="Times New Roman" w:cs="Times New Roman"/>
          <w:szCs w:val="24"/>
          <w:lang w:eastAsia="en-AU"/>
        </w:rPr>
        <w:t>, vol. 29, pp. 70–86.</w:t>
      </w:r>
    </w:p>
    <w:p w14:paraId="639A742A" w14:textId="77777777" w:rsidR="00452695" w:rsidRDefault="00452695" w:rsidP="00FF5703">
      <w:pPr>
        <w:spacing w:after="0" w:line="360" w:lineRule="auto"/>
        <w:ind w:left="720" w:hanging="720"/>
        <w:rPr>
          <w:rFonts w:eastAsia="Times New Roman" w:cs="Times New Roman"/>
          <w:szCs w:val="24"/>
          <w:lang w:eastAsia="en-AU"/>
        </w:rPr>
      </w:pPr>
    </w:p>
    <w:p w14:paraId="54A578CD" w14:textId="4D47C906" w:rsidR="00452695" w:rsidRDefault="00452695" w:rsidP="00FF5703">
      <w:pPr>
        <w:spacing w:after="0" w:line="360" w:lineRule="auto"/>
        <w:ind w:left="720" w:hanging="720"/>
        <w:rPr>
          <w:rFonts w:eastAsia="Times New Roman" w:cs="Times New Roman"/>
          <w:szCs w:val="24"/>
          <w:lang w:eastAsia="en-AU"/>
        </w:rPr>
      </w:pPr>
      <w:r>
        <w:rPr>
          <w:rFonts w:eastAsia="Times New Roman" w:cs="Times New Roman"/>
          <w:szCs w:val="24"/>
          <w:lang w:eastAsia="en-AU"/>
        </w:rPr>
        <w:t xml:space="preserve">Latour, B1986, ‘Visualisation and cognition’, </w:t>
      </w:r>
      <w:r>
        <w:rPr>
          <w:rFonts w:eastAsia="Times New Roman" w:cs="Times New Roman"/>
          <w:i/>
          <w:szCs w:val="24"/>
          <w:lang w:eastAsia="en-AU"/>
        </w:rPr>
        <w:t xml:space="preserve">Knowledge and Cognition, </w:t>
      </w:r>
      <w:r>
        <w:rPr>
          <w:rFonts w:eastAsia="Times New Roman" w:cs="Times New Roman"/>
          <w:szCs w:val="24"/>
          <w:lang w:eastAsia="en-AU"/>
        </w:rPr>
        <w:t xml:space="preserve">vol. 6, no. 6, pp.1-40. </w:t>
      </w:r>
    </w:p>
    <w:p w14:paraId="55F7B68E" w14:textId="1B235B73" w:rsidR="00AA5E6D" w:rsidRDefault="00AA5E6D" w:rsidP="00FF5703">
      <w:pPr>
        <w:spacing w:after="0" w:line="360" w:lineRule="auto"/>
        <w:ind w:left="720" w:hanging="720"/>
        <w:rPr>
          <w:rFonts w:eastAsia="Times New Roman" w:cs="Times New Roman"/>
          <w:szCs w:val="24"/>
          <w:lang w:eastAsia="en-AU"/>
        </w:rPr>
      </w:pPr>
    </w:p>
    <w:p w14:paraId="17C8D0AA" w14:textId="77777777" w:rsidR="00AA5E6D" w:rsidRDefault="00AA5E6D" w:rsidP="00FF5703">
      <w:pPr>
        <w:spacing w:after="0" w:line="360" w:lineRule="auto"/>
        <w:ind w:left="720" w:hanging="720"/>
        <w:rPr>
          <w:rFonts w:eastAsia="Times New Roman" w:cs="Times New Roman"/>
          <w:szCs w:val="24"/>
          <w:lang w:eastAsia="en-AU"/>
        </w:rPr>
      </w:pPr>
      <w:r>
        <w:rPr>
          <w:rFonts w:eastAsia="Times New Roman" w:cs="Times New Roman"/>
          <w:szCs w:val="24"/>
          <w:lang w:eastAsia="en-AU"/>
        </w:rPr>
        <w:t xml:space="preserve">Lewis 1973, ‘Anthropology and colonialism’, </w:t>
      </w:r>
      <w:r>
        <w:rPr>
          <w:rFonts w:eastAsia="Times New Roman" w:cs="Times New Roman"/>
          <w:i/>
          <w:iCs/>
          <w:szCs w:val="24"/>
          <w:lang w:eastAsia="en-AU"/>
        </w:rPr>
        <w:t>Current Anthropology</w:t>
      </w:r>
      <w:r>
        <w:rPr>
          <w:rFonts w:eastAsia="Times New Roman" w:cs="Times New Roman"/>
          <w:szCs w:val="24"/>
          <w:lang w:eastAsia="en-AU"/>
        </w:rPr>
        <w:t>, vol. 14, no. 5, pp. 581–602.</w:t>
      </w:r>
    </w:p>
    <w:p w14:paraId="367819E7" w14:textId="7BAFD80B" w:rsidR="00AA5E6D" w:rsidRDefault="00AA5E6D" w:rsidP="00FF5703">
      <w:pPr>
        <w:spacing w:after="0" w:line="360" w:lineRule="auto"/>
        <w:ind w:left="720" w:hanging="720"/>
        <w:rPr>
          <w:rFonts w:eastAsia="Times New Roman" w:cs="Times New Roman"/>
          <w:szCs w:val="24"/>
          <w:lang w:eastAsia="en-AU"/>
        </w:rPr>
      </w:pPr>
    </w:p>
    <w:p w14:paraId="47F4FDA9" w14:textId="3A0D88FE" w:rsidR="00AA5E6D" w:rsidRDefault="00AA5E6D" w:rsidP="00FF5703">
      <w:pPr>
        <w:spacing w:after="0" w:line="360" w:lineRule="auto"/>
        <w:ind w:left="720" w:hanging="720"/>
        <w:rPr>
          <w:rFonts w:eastAsia="Times New Roman" w:cs="Times New Roman"/>
          <w:szCs w:val="24"/>
          <w:lang w:eastAsia="en-AU"/>
        </w:rPr>
      </w:pPr>
      <w:r>
        <w:rPr>
          <w:rFonts w:eastAsia="Times New Roman" w:cs="Times New Roman"/>
          <w:szCs w:val="24"/>
          <w:lang w:eastAsia="en-AU"/>
        </w:rPr>
        <w:t>Low, SM &amp; Merry, SE 2010, ‘Engaged anthropology: diversity and dilemmas’, vol. 51, supplement 2, pp. S203–S266.</w:t>
      </w:r>
    </w:p>
    <w:p w14:paraId="24000819" w14:textId="3CBAEBB4" w:rsidR="00AA5E6D" w:rsidRDefault="00AA5E6D" w:rsidP="00FF5703">
      <w:pPr>
        <w:spacing w:after="0" w:line="360" w:lineRule="auto"/>
        <w:ind w:left="720" w:hanging="720"/>
        <w:rPr>
          <w:rFonts w:eastAsia="Times New Roman" w:cs="Times New Roman"/>
          <w:szCs w:val="24"/>
          <w:lang w:eastAsia="en-AU"/>
        </w:rPr>
      </w:pPr>
    </w:p>
    <w:p w14:paraId="7C01D4E2" w14:textId="785FB866" w:rsidR="001C704E" w:rsidRPr="00F31B4D" w:rsidRDefault="001C704E" w:rsidP="00FF5703">
      <w:pPr>
        <w:spacing w:after="0" w:line="360" w:lineRule="auto"/>
        <w:ind w:left="720" w:hanging="720"/>
        <w:rPr>
          <w:rFonts w:eastAsia="Times New Roman" w:cs="Times New Roman"/>
          <w:szCs w:val="24"/>
          <w:lang w:eastAsia="en-AU"/>
        </w:rPr>
      </w:pPr>
      <w:r>
        <w:rPr>
          <w:rFonts w:eastAsia="Times New Roman" w:cs="Times New Roman"/>
          <w:szCs w:val="24"/>
          <w:lang w:eastAsia="en-AU"/>
        </w:rPr>
        <w:t xml:space="preserve">Malinowski B 1994 [1922], </w:t>
      </w:r>
      <w:r w:rsidRPr="00F31B4D">
        <w:rPr>
          <w:rFonts w:eastAsia="Times New Roman" w:cs="Times New Roman"/>
          <w:i/>
          <w:szCs w:val="24"/>
          <w:lang w:eastAsia="en-AU"/>
        </w:rPr>
        <w:t>Argonauts of the Western Pacific: an account of native enterprise and adventure in the archipelagos of Melanesian New Guinea</w:t>
      </w:r>
      <w:r w:rsidR="00F31B4D">
        <w:rPr>
          <w:rFonts w:eastAsia="Times New Roman" w:cs="Times New Roman"/>
          <w:szCs w:val="24"/>
          <w:lang w:eastAsia="en-AU"/>
        </w:rPr>
        <w:t xml:space="preserve">, </w:t>
      </w:r>
      <w:r w:rsidR="00335965">
        <w:rPr>
          <w:rFonts w:eastAsia="Times New Roman" w:cs="Times New Roman"/>
          <w:szCs w:val="24"/>
          <w:lang w:eastAsia="en-AU"/>
        </w:rPr>
        <w:t xml:space="preserve">Routledge, London. </w:t>
      </w:r>
    </w:p>
    <w:p w14:paraId="69F12CD5" w14:textId="209B8D65" w:rsidR="001C704E" w:rsidRDefault="001C704E" w:rsidP="00FF5703">
      <w:pPr>
        <w:spacing w:after="0" w:line="360" w:lineRule="auto"/>
        <w:ind w:left="720" w:hanging="720"/>
        <w:rPr>
          <w:rFonts w:eastAsia="Times New Roman" w:cs="Times New Roman"/>
          <w:szCs w:val="24"/>
          <w:lang w:eastAsia="en-AU"/>
        </w:rPr>
      </w:pPr>
    </w:p>
    <w:p w14:paraId="0A8C11CB" w14:textId="613FFA71" w:rsidR="005E7F3F" w:rsidRPr="005E7F3F" w:rsidRDefault="005E7F3F" w:rsidP="00FF5703">
      <w:pPr>
        <w:spacing w:after="0" w:line="360" w:lineRule="auto"/>
        <w:ind w:left="720" w:hanging="720"/>
        <w:rPr>
          <w:rFonts w:eastAsia="Times New Roman" w:cs="Times New Roman"/>
          <w:szCs w:val="24"/>
          <w:lang w:eastAsia="en-AU"/>
        </w:rPr>
      </w:pPr>
      <w:r>
        <w:rPr>
          <w:rFonts w:eastAsia="Times New Roman" w:cs="Times New Roman"/>
          <w:szCs w:val="24"/>
          <w:lang w:eastAsia="en-AU"/>
        </w:rPr>
        <w:t xml:space="preserve">Marcus, GE 2001, ‘From rapport under erasure to </w:t>
      </w:r>
      <w:proofErr w:type="spellStart"/>
      <w:r>
        <w:rPr>
          <w:rFonts w:eastAsia="Times New Roman" w:cs="Times New Roman"/>
          <w:szCs w:val="24"/>
          <w:lang w:eastAsia="en-AU"/>
        </w:rPr>
        <w:t>theaters</w:t>
      </w:r>
      <w:proofErr w:type="spellEnd"/>
      <w:r>
        <w:rPr>
          <w:rFonts w:eastAsia="Times New Roman" w:cs="Times New Roman"/>
          <w:szCs w:val="24"/>
          <w:lang w:eastAsia="en-AU"/>
        </w:rPr>
        <w:t xml:space="preserve"> of complicit reflexivity’, </w:t>
      </w:r>
      <w:r>
        <w:rPr>
          <w:rFonts w:eastAsia="Times New Roman" w:cs="Times New Roman"/>
          <w:i/>
          <w:szCs w:val="24"/>
          <w:lang w:eastAsia="en-AU"/>
        </w:rPr>
        <w:t>Qualitative Inquiry</w:t>
      </w:r>
      <w:r>
        <w:rPr>
          <w:rFonts w:eastAsia="Times New Roman" w:cs="Times New Roman"/>
          <w:szCs w:val="24"/>
          <w:lang w:eastAsia="en-AU"/>
        </w:rPr>
        <w:t xml:space="preserve">, vol. 7, pp. 519-28. </w:t>
      </w:r>
    </w:p>
    <w:p w14:paraId="40B4AECF" w14:textId="77777777" w:rsidR="005E7F3F" w:rsidRPr="00452695" w:rsidRDefault="005E7F3F" w:rsidP="00FF5703">
      <w:pPr>
        <w:spacing w:after="0" w:line="360" w:lineRule="auto"/>
        <w:ind w:left="720" w:hanging="720"/>
        <w:rPr>
          <w:rFonts w:eastAsia="Times New Roman" w:cs="Times New Roman"/>
          <w:szCs w:val="24"/>
          <w:lang w:eastAsia="en-AU"/>
        </w:rPr>
      </w:pPr>
    </w:p>
    <w:p w14:paraId="180B7077" w14:textId="38BF9B54" w:rsidR="0063574F" w:rsidRDefault="00F062C2" w:rsidP="00FF5703">
      <w:pPr>
        <w:spacing w:after="0" w:line="360" w:lineRule="auto"/>
        <w:ind w:left="720" w:hanging="720"/>
        <w:rPr>
          <w:rFonts w:eastAsia="Times New Roman" w:cs="Times New Roman"/>
          <w:szCs w:val="24"/>
          <w:lang w:eastAsia="en-AU"/>
        </w:rPr>
      </w:pPr>
      <w:r>
        <w:rPr>
          <w:rFonts w:eastAsia="Times New Roman" w:cs="Times New Roman"/>
          <w:szCs w:val="24"/>
          <w:lang w:eastAsia="en-AU"/>
        </w:rPr>
        <w:t xml:space="preserve">Michaels, WB 1982, ‘Is there a politics of interpretation?’, </w:t>
      </w:r>
      <w:r w:rsidRPr="009D6A01">
        <w:rPr>
          <w:rFonts w:eastAsia="Times New Roman" w:cs="Times New Roman"/>
          <w:i/>
          <w:szCs w:val="24"/>
          <w:lang w:eastAsia="en-AU"/>
        </w:rPr>
        <w:t>Critical Inquiry</w:t>
      </w:r>
      <w:r>
        <w:rPr>
          <w:rFonts w:eastAsia="Times New Roman" w:cs="Times New Roman"/>
          <w:szCs w:val="24"/>
          <w:lang w:eastAsia="en-AU"/>
        </w:rPr>
        <w:t xml:space="preserve">, vol. 9, no. 1, pp. 248-58. </w:t>
      </w:r>
    </w:p>
    <w:p w14:paraId="6347C4D3" w14:textId="56C6A52D" w:rsidR="0063574F" w:rsidRDefault="0063574F" w:rsidP="00FF5703">
      <w:pPr>
        <w:spacing w:after="0" w:line="360" w:lineRule="auto"/>
        <w:ind w:left="720" w:hanging="720"/>
        <w:rPr>
          <w:rFonts w:eastAsia="Times New Roman" w:cs="Times New Roman"/>
          <w:szCs w:val="24"/>
          <w:lang w:eastAsia="en-AU"/>
        </w:rPr>
      </w:pPr>
    </w:p>
    <w:p w14:paraId="574A5B30" w14:textId="68DA72D8" w:rsidR="00B35DCA" w:rsidRDefault="00B35DCA" w:rsidP="00FF5703">
      <w:pPr>
        <w:spacing w:after="0" w:line="360" w:lineRule="auto"/>
        <w:ind w:left="720" w:hanging="720"/>
        <w:rPr>
          <w:rFonts w:eastAsia="Times New Roman" w:cs="Times New Roman"/>
          <w:szCs w:val="24"/>
          <w:lang w:eastAsia="en-AU"/>
        </w:rPr>
      </w:pPr>
      <w:r>
        <w:rPr>
          <w:rFonts w:eastAsia="Times New Roman" w:cs="Times New Roman"/>
          <w:szCs w:val="24"/>
          <w:lang w:eastAsia="en-AU"/>
        </w:rPr>
        <w:t xml:space="preserve">Moore, HL &amp; Sanders, T 2006, ‘Anthropology and epistemology’, in HL Moore &amp; T Sanders (eds), </w:t>
      </w:r>
      <w:r>
        <w:rPr>
          <w:rFonts w:eastAsia="Times New Roman" w:cs="Times New Roman"/>
          <w:i/>
          <w:iCs/>
          <w:szCs w:val="24"/>
          <w:lang w:eastAsia="en-AU"/>
        </w:rPr>
        <w:t>Anthropology in theory: issues in epistemology</w:t>
      </w:r>
      <w:r>
        <w:rPr>
          <w:rFonts w:eastAsia="Times New Roman" w:cs="Times New Roman"/>
          <w:szCs w:val="24"/>
          <w:lang w:eastAsia="en-AU"/>
        </w:rPr>
        <w:t>, Blackwell Publishers, Malden, MA.</w:t>
      </w:r>
    </w:p>
    <w:p w14:paraId="4E1133BA" w14:textId="23BCE40E" w:rsidR="00FE2091" w:rsidRPr="00FE2091" w:rsidRDefault="00FE2091" w:rsidP="00FF5703">
      <w:pPr>
        <w:spacing w:after="0" w:line="360" w:lineRule="auto"/>
        <w:ind w:left="720" w:hanging="720"/>
        <w:rPr>
          <w:rFonts w:eastAsia="Times New Roman" w:cs="Times New Roman"/>
          <w:szCs w:val="24"/>
          <w:lang w:eastAsia="en-AU"/>
        </w:rPr>
      </w:pPr>
      <w:r w:rsidRPr="00FE2091">
        <w:rPr>
          <w:rFonts w:eastAsia="Times New Roman" w:cs="Times New Roman"/>
          <w:szCs w:val="24"/>
          <w:lang w:val="it-IT" w:eastAsia="en-AU"/>
        </w:rPr>
        <w:lastRenderedPageBreak/>
        <w:t>Mosse, D 2006, ‘Anti-social a</w:t>
      </w:r>
      <w:r>
        <w:rPr>
          <w:rFonts w:eastAsia="Times New Roman" w:cs="Times New Roman"/>
          <w:szCs w:val="24"/>
          <w:lang w:val="it-IT" w:eastAsia="en-AU"/>
        </w:rPr>
        <w:t xml:space="preserve">nthropology? </w:t>
      </w:r>
      <w:r w:rsidRPr="00FE2091">
        <w:rPr>
          <w:rFonts w:eastAsia="Times New Roman" w:cs="Times New Roman"/>
          <w:szCs w:val="24"/>
          <w:lang w:eastAsia="en-AU"/>
        </w:rPr>
        <w:t>Objectivity, objection and the e</w:t>
      </w:r>
      <w:r>
        <w:rPr>
          <w:rFonts w:eastAsia="Times New Roman" w:cs="Times New Roman"/>
          <w:szCs w:val="24"/>
          <w:lang w:eastAsia="en-AU"/>
        </w:rPr>
        <w:t xml:space="preserve">thnography of public policy and professional communities’, </w:t>
      </w:r>
      <w:r>
        <w:rPr>
          <w:rFonts w:eastAsia="Times New Roman" w:cs="Times New Roman"/>
          <w:i/>
          <w:szCs w:val="24"/>
          <w:lang w:eastAsia="en-AU"/>
        </w:rPr>
        <w:t>The Journal of the Royal Anthropological Institute</w:t>
      </w:r>
      <w:r>
        <w:rPr>
          <w:rFonts w:eastAsia="Times New Roman" w:cs="Times New Roman"/>
          <w:szCs w:val="24"/>
          <w:lang w:eastAsia="en-AU"/>
        </w:rPr>
        <w:t xml:space="preserve">, vol. 12, no. 4, pp. 935-956. </w:t>
      </w:r>
    </w:p>
    <w:p w14:paraId="0DD6A138" w14:textId="77777777" w:rsidR="00FE2091" w:rsidRPr="00FE2091" w:rsidRDefault="00FE2091" w:rsidP="00FF5703">
      <w:pPr>
        <w:spacing w:after="0" w:line="360" w:lineRule="auto"/>
        <w:ind w:left="720" w:hanging="720"/>
        <w:rPr>
          <w:rFonts w:eastAsia="Times New Roman" w:cs="Times New Roman"/>
          <w:szCs w:val="24"/>
          <w:lang w:eastAsia="en-AU"/>
        </w:rPr>
      </w:pPr>
    </w:p>
    <w:p w14:paraId="26249352" w14:textId="4270847A" w:rsidR="00232768" w:rsidRDefault="00232768" w:rsidP="00FF5703">
      <w:pPr>
        <w:spacing w:after="0" w:line="360" w:lineRule="auto"/>
        <w:ind w:left="720" w:hanging="720"/>
        <w:rPr>
          <w:rFonts w:eastAsia="Times New Roman" w:cs="Times New Roman"/>
          <w:szCs w:val="24"/>
          <w:lang w:eastAsia="en-AU"/>
        </w:rPr>
      </w:pPr>
      <w:proofErr w:type="spellStart"/>
      <w:r>
        <w:rPr>
          <w:rFonts w:eastAsia="Times New Roman" w:cs="Times New Roman"/>
          <w:szCs w:val="24"/>
          <w:lang w:eastAsia="en-AU"/>
        </w:rPr>
        <w:t>Rancière</w:t>
      </w:r>
      <w:proofErr w:type="spellEnd"/>
      <w:r>
        <w:rPr>
          <w:rFonts w:eastAsia="Times New Roman" w:cs="Times New Roman"/>
          <w:szCs w:val="24"/>
          <w:lang w:eastAsia="en-AU"/>
        </w:rPr>
        <w:t xml:space="preserve">, J 1999, </w:t>
      </w:r>
      <w:r w:rsidRPr="00B25276">
        <w:rPr>
          <w:rFonts w:eastAsia="Times New Roman" w:cs="Times New Roman"/>
          <w:i/>
          <w:szCs w:val="24"/>
          <w:lang w:eastAsia="en-AU"/>
        </w:rPr>
        <w:t>Disagreement: politics and philosophy</w:t>
      </w:r>
      <w:r>
        <w:rPr>
          <w:rFonts w:eastAsia="Times New Roman" w:cs="Times New Roman"/>
          <w:szCs w:val="24"/>
          <w:lang w:eastAsia="en-AU"/>
        </w:rPr>
        <w:t xml:space="preserve">, University of Minnesota Press, Minnesota. </w:t>
      </w:r>
    </w:p>
    <w:p w14:paraId="508C616F" w14:textId="3482B32C" w:rsidR="00D62CC0" w:rsidRDefault="00D62CC0" w:rsidP="00FF5703">
      <w:pPr>
        <w:spacing w:after="0" w:line="360" w:lineRule="auto"/>
        <w:ind w:left="720" w:hanging="720"/>
        <w:rPr>
          <w:rFonts w:eastAsia="Times New Roman" w:cs="Times New Roman"/>
          <w:szCs w:val="24"/>
          <w:lang w:eastAsia="en-AU"/>
        </w:rPr>
      </w:pPr>
    </w:p>
    <w:p w14:paraId="59E74A00" w14:textId="77777777" w:rsidR="00D62CC0" w:rsidRDefault="00D62CC0" w:rsidP="00FF5703">
      <w:pPr>
        <w:spacing w:after="0" w:line="360" w:lineRule="auto"/>
        <w:ind w:left="720" w:hanging="720"/>
        <w:rPr>
          <w:rFonts w:eastAsia="Times New Roman" w:cs="Times New Roman"/>
          <w:szCs w:val="24"/>
          <w:lang w:eastAsia="en-AU"/>
        </w:rPr>
      </w:pPr>
      <w:r>
        <w:rPr>
          <w:rFonts w:eastAsia="Times New Roman" w:cs="Times New Roman"/>
          <w:szCs w:val="24"/>
          <w:lang w:eastAsia="en-AU"/>
        </w:rPr>
        <w:t xml:space="preserve">Rappaport, J 2008, ‘Beyond participant observation: collaborative ethnography as theoretical innovation’, </w:t>
      </w:r>
      <w:r>
        <w:rPr>
          <w:rFonts w:eastAsia="Times New Roman" w:cs="Times New Roman"/>
          <w:i/>
          <w:iCs/>
          <w:szCs w:val="24"/>
          <w:lang w:eastAsia="en-AU"/>
        </w:rPr>
        <w:t>Collaborative Anthropologies</w:t>
      </w:r>
      <w:r>
        <w:rPr>
          <w:rFonts w:eastAsia="Times New Roman" w:cs="Times New Roman"/>
          <w:szCs w:val="24"/>
          <w:lang w:eastAsia="en-AU"/>
        </w:rPr>
        <w:t>, vol. 1, pp. 1–31.</w:t>
      </w:r>
    </w:p>
    <w:p w14:paraId="15205C47" w14:textId="32E84A93" w:rsidR="00D62CC0" w:rsidRDefault="00D62CC0" w:rsidP="00FF5703">
      <w:pPr>
        <w:spacing w:after="0" w:line="360" w:lineRule="auto"/>
        <w:ind w:left="720" w:hanging="720"/>
        <w:rPr>
          <w:rFonts w:eastAsia="Times New Roman" w:cs="Times New Roman"/>
          <w:szCs w:val="24"/>
          <w:lang w:eastAsia="en-AU"/>
        </w:rPr>
      </w:pPr>
    </w:p>
    <w:p w14:paraId="156F714E" w14:textId="02CE60DB" w:rsidR="00D62CC0" w:rsidRDefault="00D62CC0" w:rsidP="00FF5703">
      <w:pPr>
        <w:spacing w:after="0" w:line="360" w:lineRule="auto"/>
        <w:ind w:left="720" w:hanging="720"/>
        <w:rPr>
          <w:rFonts w:eastAsia="Times New Roman" w:cs="Times New Roman"/>
          <w:szCs w:val="24"/>
          <w:lang w:eastAsia="en-AU"/>
        </w:rPr>
      </w:pPr>
      <w:r>
        <w:rPr>
          <w:rFonts w:eastAsia="Times New Roman" w:cs="Times New Roman"/>
          <w:szCs w:val="24"/>
          <w:lang w:eastAsia="en-AU"/>
        </w:rPr>
        <w:t xml:space="preserve">Rappaport, J 2016, </w:t>
      </w:r>
      <w:proofErr w:type="spellStart"/>
      <w:r>
        <w:rPr>
          <w:rFonts w:eastAsia="Times New Roman" w:cs="Times New Roman"/>
          <w:szCs w:val="24"/>
          <w:lang w:eastAsia="en-AU"/>
        </w:rPr>
        <w:t>‘Re</w:t>
      </w:r>
      <w:proofErr w:type="spellEnd"/>
      <w:r>
        <w:rPr>
          <w:rFonts w:eastAsia="Times New Roman" w:cs="Times New Roman"/>
          <w:szCs w:val="24"/>
          <w:lang w:eastAsia="en-AU"/>
        </w:rPr>
        <w:t xml:space="preserve">-thinking the meaning of research in collaborative relationships’, </w:t>
      </w:r>
      <w:r>
        <w:rPr>
          <w:rFonts w:eastAsia="Times New Roman" w:cs="Times New Roman"/>
          <w:i/>
          <w:iCs/>
          <w:szCs w:val="24"/>
          <w:lang w:eastAsia="en-AU"/>
        </w:rPr>
        <w:t>Collaborative Anthropologies</w:t>
      </w:r>
      <w:r>
        <w:rPr>
          <w:rFonts w:eastAsia="Times New Roman" w:cs="Times New Roman"/>
          <w:szCs w:val="24"/>
          <w:lang w:eastAsia="en-AU"/>
        </w:rPr>
        <w:t>, vol. 9, no. 1/2, pp. 1–31.</w:t>
      </w:r>
    </w:p>
    <w:p w14:paraId="42666389" w14:textId="6D055E87" w:rsidR="006239FB" w:rsidRDefault="006239FB" w:rsidP="00FF5703">
      <w:pPr>
        <w:spacing w:after="0" w:line="360" w:lineRule="auto"/>
        <w:ind w:left="720" w:hanging="720"/>
        <w:rPr>
          <w:rFonts w:eastAsia="Times New Roman" w:cs="Times New Roman"/>
          <w:szCs w:val="24"/>
          <w:lang w:eastAsia="en-AU"/>
        </w:rPr>
      </w:pPr>
    </w:p>
    <w:p w14:paraId="73F590CB" w14:textId="77777777" w:rsidR="006239FB" w:rsidRDefault="006239FB" w:rsidP="00FF5703">
      <w:pPr>
        <w:spacing w:after="0" w:line="360" w:lineRule="auto"/>
        <w:ind w:left="720" w:hanging="720"/>
        <w:rPr>
          <w:rFonts w:eastAsia="Times New Roman" w:cs="Times New Roman"/>
          <w:szCs w:val="24"/>
          <w:lang w:eastAsia="en-AU"/>
        </w:rPr>
      </w:pPr>
      <w:r>
        <w:rPr>
          <w:rFonts w:eastAsia="Times New Roman" w:cs="Times New Roman"/>
          <w:szCs w:val="24"/>
          <w:lang w:eastAsia="en-AU"/>
        </w:rPr>
        <w:t xml:space="preserve">Ribeiro, GL 2014, ‘World anthropologies: anthropological cosmopolitanisms and </w:t>
      </w:r>
      <w:proofErr w:type="spellStart"/>
      <w:r>
        <w:rPr>
          <w:rFonts w:eastAsia="Times New Roman" w:cs="Times New Roman"/>
          <w:szCs w:val="24"/>
          <w:lang w:eastAsia="en-AU"/>
        </w:rPr>
        <w:t>cosmopolitics</w:t>
      </w:r>
      <w:proofErr w:type="spellEnd"/>
      <w:r>
        <w:rPr>
          <w:rFonts w:eastAsia="Times New Roman" w:cs="Times New Roman"/>
          <w:szCs w:val="24"/>
          <w:lang w:eastAsia="en-AU"/>
        </w:rPr>
        <w:t xml:space="preserve">’, </w:t>
      </w:r>
      <w:r>
        <w:rPr>
          <w:rFonts w:eastAsia="Times New Roman" w:cs="Times New Roman"/>
          <w:i/>
          <w:iCs/>
          <w:szCs w:val="24"/>
          <w:lang w:eastAsia="en-AU"/>
        </w:rPr>
        <w:t>Annual Review of Anthropology</w:t>
      </w:r>
      <w:r>
        <w:rPr>
          <w:rFonts w:eastAsia="Times New Roman" w:cs="Times New Roman"/>
          <w:szCs w:val="24"/>
          <w:lang w:eastAsia="en-AU"/>
        </w:rPr>
        <w:t>, vol. 43, pp. 483–98.</w:t>
      </w:r>
    </w:p>
    <w:p w14:paraId="02085722" w14:textId="4469D739" w:rsidR="006239FB" w:rsidRDefault="006239FB" w:rsidP="00FF5703">
      <w:pPr>
        <w:spacing w:after="0" w:line="360" w:lineRule="auto"/>
        <w:ind w:left="720" w:hanging="720"/>
        <w:rPr>
          <w:rFonts w:eastAsia="Times New Roman" w:cs="Times New Roman"/>
          <w:szCs w:val="24"/>
          <w:lang w:eastAsia="en-AU"/>
        </w:rPr>
      </w:pPr>
    </w:p>
    <w:p w14:paraId="05A406F6" w14:textId="605F9F12" w:rsidR="00B13C5F" w:rsidRDefault="00B13C5F" w:rsidP="00FF5703">
      <w:pPr>
        <w:spacing w:after="0" w:line="360" w:lineRule="auto"/>
        <w:ind w:left="720" w:hanging="720"/>
        <w:rPr>
          <w:rFonts w:eastAsia="Times New Roman" w:cs="Times New Roman"/>
          <w:szCs w:val="24"/>
          <w:lang w:eastAsia="en-AU"/>
        </w:rPr>
      </w:pPr>
      <w:r>
        <w:rPr>
          <w:rFonts w:eastAsia="Times New Roman" w:cs="Times New Roman"/>
          <w:szCs w:val="24"/>
          <w:lang w:eastAsia="en-AU"/>
        </w:rPr>
        <w:t xml:space="preserve">Said, E 1978, </w:t>
      </w:r>
      <w:r>
        <w:rPr>
          <w:rFonts w:eastAsia="Times New Roman" w:cs="Times New Roman"/>
          <w:i/>
          <w:szCs w:val="24"/>
          <w:lang w:eastAsia="en-AU"/>
        </w:rPr>
        <w:t xml:space="preserve">Orientalism, </w:t>
      </w:r>
      <w:r>
        <w:rPr>
          <w:rFonts w:eastAsia="Times New Roman" w:cs="Times New Roman"/>
          <w:szCs w:val="24"/>
          <w:lang w:eastAsia="en-AU"/>
        </w:rPr>
        <w:t xml:space="preserve">Pantheon, New York. </w:t>
      </w:r>
    </w:p>
    <w:p w14:paraId="4F6655A2" w14:textId="23F01327" w:rsidR="00A321B9" w:rsidRDefault="00A321B9" w:rsidP="00FF5703">
      <w:pPr>
        <w:spacing w:after="0" w:line="360" w:lineRule="auto"/>
        <w:ind w:left="720" w:hanging="720"/>
        <w:rPr>
          <w:rFonts w:eastAsia="Times New Roman" w:cs="Times New Roman"/>
          <w:szCs w:val="24"/>
          <w:lang w:eastAsia="en-AU"/>
        </w:rPr>
      </w:pPr>
    </w:p>
    <w:p w14:paraId="5FEA5302" w14:textId="6FDD3590" w:rsidR="00A321B9" w:rsidRDefault="00A321B9" w:rsidP="00FF5703">
      <w:pPr>
        <w:spacing w:after="0" w:line="360" w:lineRule="auto"/>
        <w:ind w:left="720" w:hanging="720"/>
        <w:rPr>
          <w:rFonts w:eastAsia="Times New Roman" w:cs="Times New Roman"/>
          <w:szCs w:val="24"/>
          <w:lang w:eastAsia="en-AU"/>
        </w:rPr>
      </w:pPr>
      <w:proofErr w:type="spellStart"/>
      <w:r>
        <w:rPr>
          <w:rFonts w:eastAsia="Times New Roman" w:cs="Times New Roman"/>
          <w:szCs w:val="24"/>
          <w:lang w:eastAsia="en-AU"/>
        </w:rPr>
        <w:t>Strohm</w:t>
      </w:r>
      <w:proofErr w:type="spellEnd"/>
      <w:r>
        <w:rPr>
          <w:rFonts w:eastAsia="Times New Roman" w:cs="Times New Roman"/>
          <w:szCs w:val="24"/>
          <w:lang w:eastAsia="en-AU"/>
        </w:rPr>
        <w:t xml:space="preserve">, K 2012, ‘When anthropology meets contemporary art: notes for a politics of collaboration’, </w:t>
      </w:r>
      <w:r>
        <w:rPr>
          <w:rFonts w:eastAsia="Times New Roman" w:cs="Times New Roman"/>
          <w:i/>
          <w:iCs/>
          <w:szCs w:val="24"/>
          <w:lang w:eastAsia="en-AU"/>
        </w:rPr>
        <w:t>Collaborative Anthropologies</w:t>
      </w:r>
      <w:r>
        <w:rPr>
          <w:rFonts w:eastAsia="Times New Roman" w:cs="Times New Roman"/>
          <w:szCs w:val="24"/>
          <w:lang w:eastAsia="en-AU"/>
        </w:rPr>
        <w:t>, vol. 5, pp. 98–124.</w:t>
      </w:r>
    </w:p>
    <w:p w14:paraId="145CC1F6" w14:textId="77777777" w:rsidR="00D566B3" w:rsidRDefault="00D566B3" w:rsidP="00FF5703">
      <w:pPr>
        <w:spacing w:after="0" w:line="360" w:lineRule="auto"/>
        <w:ind w:left="720" w:hanging="720"/>
        <w:rPr>
          <w:rFonts w:eastAsia="Times New Roman" w:cs="Times New Roman"/>
          <w:szCs w:val="24"/>
          <w:lang w:eastAsia="en-AU"/>
        </w:rPr>
      </w:pPr>
    </w:p>
    <w:p w14:paraId="201BE63C" w14:textId="6A39AD00" w:rsidR="00D566B3" w:rsidRDefault="00D566B3" w:rsidP="00FF5703">
      <w:pPr>
        <w:spacing w:after="0" w:line="360" w:lineRule="auto"/>
        <w:ind w:left="720" w:hanging="720"/>
        <w:rPr>
          <w:rFonts w:eastAsia="Times New Roman" w:cs="Times New Roman"/>
          <w:szCs w:val="24"/>
          <w:lang w:eastAsia="en-AU"/>
        </w:rPr>
      </w:pPr>
      <w:proofErr w:type="spellStart"/>
      <w:r>
        <w:rPr>
          <w:rFonts w:eastAsia="Times New Roman" w:cs="Times New Roman"/>
          <w:szCs w:val="24"/>
          <w:lang w:eastAsia="en-AU"/>
        </w:rPr>
        <w:t>Trouillot</w:t>
      </w:r>
      <w:proofErr w:type="spellEnd"/>
      <w:r>
        <w:rPr>
          <w:rFonts w:eastAsia="Times New Roman" w:cs="Times New Roman"/>
          <w:szCs w:val="24"/>
          <w:lang w:eastAsia="en-AU"/>
        </w:rPr>
        <w:t xml:space="preserve">, M-R 2003, ‘Anthropology and the savage slot: the poetics and politics of otherness’, in </w:t>
      </w:r>
      <w:r>
        <w:rPr>
          <w:rFonts w:eastAsia="Times New Roman" w:cs="Times New Roman"/>
          <w:i/>
          <w:iCs/>
          <w:szCs w:val="24"/>
          <w:lang w:eastAsia="en-AU"/>
        </w:rPr>
        <w:t>Global Transformations</w:t>
      </w:r>
      <w:r>
        <w:rPr>
          <w:rFonts w:eastAsia="Times New Roman" w:cs="Times New Roman"/>
          <w:szCs w:val="24"/>
          <w:lang w:eastAsia="en-AU"/>
        </w:rPr>
        <w:t>, Palgrave Macmillan, New York, pp. 7–28.</w:t>
      </w:r>
    </w:p>
    <w:p w14:paraId="41AED6F4" w14:textId="6B793571" w:rsidR="0060080C" w:rsidRDefault="0060080C" w:rsidP="00FF5703">
      <w:pPr>
        <w:spacing w:after="0" w:line="360" w:lineRule="auto"/>
        <w:ind w:left="720" w:hanging="720"/>
        <w:rPr>
          <w:rFonts w:eastAsia="Times New Roman" w:cs="Times New Roman"/>
          <w:szCs w:val="24"/>
          <w:lang w:eastAsia="en-AU"/>
        </w:rPr>
      </w:pPr>
    </w:p>
    <w:p w14:paraId="6F22FCFD" w14:textId="77777777" w:rsidR="0060080C" w:rsidRDefault="0060080C" w:rsidP="00FF5703">
      <w:pPr>
        <w:spacing w:after="0" w:line="360" w:lineRule="auto"/>
        <w:ind w:left="720" w:hanging="720"/>
        <w:rPr>
          <w:rFonts w:eastAsia="Times New Roman" w:cs="Times New Roman"/>
          <w:szCs w:val="24"/>
          <w:lang w:eastAsia="en-AU"/>
        </w:rPr>
      </w:pPr>
      <w:r>
        <w:rPr>
          <w:rFonts w:eastAsia="Times New Roman" w:cs="Times New Roman"/>
          <w:szCs w:val="24"/>
          <w:lang w:eastAsia="en-AU"/>
        </w:rPr>
        <w:t xml:space="preserve">Vasco Uribe, LG 2011, ‘Rethinking fieldwork and ethnographic writing’, </w:t>
      </w:r>
      <w:r>
        <w:rPr>
          <w:rFonts w:eastAsia="Times New Roman" w:cs="Times New Roman"/>
          <w:i/>
          <w:iCs/>
          <w:szCs w:val="24"/>
          <w:lang w:eastAsia="en-AU"/>
        </w:rPr>
        <w:t>Collaborative Anthropologies</w:t>
      </w:r>
      <w:r>
        <w:rPr>
          <w:rFonts w:eastAsia="Times New Roman" w:cs="Times New Roman"/>
          <w:szCs w:val="24"/>
          <w:lang w:eastAsia="en-AU"/>
        </w:rPr>
        <w:t>, vol. 4, pp. 18–66.</w:t>
      </w:r>
    </w:p>
    <w:p w14:paraId="240411FC" w14:textId="77777777" w:rsidR="0060080C" w:rsidRDefault="0060080C" w:rsidP="00D566B3">
      <w:pPr>
        <w:spacing w:after="0" w:line="240" w:lineRule="auto"/>
        <w:ind w:left="720" w:hanging="720"/>
        <w:rPr>
          <w:rFonts w:eastAsia="Times New Roman" w:cs="Times New Roman"/>
          <w:szCs w:val="24"/>
          <w:lang w:eastAsia="en-AU"/>
        </w:rPr>
      </w:pPr>
    </w:p>
    <w:p w14:paraId="4C1B76D7" w14:textId="77777777" w:rsidR="00A321B9" w:rsidRPr="00B13C5F" w:rsidRDefault="00A321B9" w:rsidP="00B13C5F">
      <w:pPr>
        <w:spacing w:after="0" w:line="240" w:lineRule="auto"/>
        <w:ind w:left="720" w:hanging="720"/>
        <w:rPr>
          <w:rFonts w:eastAsia="Times New Roman" w:cs="Times New Roman"/>
          <w:szCs w:val="24"/>
          <w:lang w:eastAsia="en-AU"/>
        </w:rPr>
      </w:pPr>
    </w:p>
    <w:p w14:paraId="2B72846B" w14:textId="77777777" w:rsidR="00B13C5F" w:rsidRDefault="00B13C5F" w:rsidP="00D62CC0">
      <w:pPr>
        <w:spacing w:after="0" w:line="240" w:lineRule="auto"/>
        <w:ind w:left="720" w:hanging="720"/>
        <w:rPr>
          <w:rFonts w:eastAsia="Times New Roman" w:cs="Times New Roman"/>
          <w:szCs w:val="24"/>
          <w:lang w:eastAsia="en-AU"/>
        </w:rPr>
      </w:pPr>
    </w:p>
    <w:p w14:paraId="1481AB0B" w14:textId="77777777" w:rsidR="00D62CC0" w:rsidRDefault="00D62CC0" w:rsidP="00B35DCA">
      <w:pPr>
        <w:spacing w:after="0" w:line="240" w:lineRule="auto"/>
        <w:ind w:left="720" w:hanging="720"/>
        <w:rPr>
          <w:rFonts w:eastAsia="Times New Roman" w:cs="Times New Roman"/>
          <w:szCs w:val="24"/>
          <w:lang w:eastAsia="en-AU"/>
        </w:rPr>
      </w:pPr>
    </w:p>
    <w:p w14:paraId="1DBB9F25" w14:textId="77777777" w:rsidR="00B35DCA" w:rsidRPr="002174FE" w:rsidRDefault="00B35DCA" w:rsidP="002174FE">
      <w:pPr>
        <w:spacing w:after="0" w:line="240" w:lineRule="auto"/>
        <w:ind w:left="720" w:hanging="720"/>
        <w:rPr>
          <w:rFonts w:eastAsia="Times New Roman" w:cs="Times New Roman"/>
          <w:szCs w:val="24"/>
          <w:lang w:eastAsia="en-AU"/>
        </w:rPr>
      </w:pPr>
    </w:p>
    <w:p w14:paraId="55F984DA" w14:textId="77777777" w:rsidR="002174FE" w:rsidRDefault="002174FE" w:rsidP="009B5212">
      <w:pPr>
        <w:spacing w:after="0" w:line="240" w:lineRule="auto"/>
        <w:ind w:left="720" w:hanging="720"/>
        <w:rPr>
          <w:rFonts w:eastAsia="Times New Roman" w:cs="Times New Roman"/>
          <w:szCs w:val="24"/>
          <w:lang w:eastAsia="en-AU"/>
        </w:rPr>
      </w:pPr>
    </w:p>
    <w:p w14:paraId="37A4EC0C" w14:textId="77777777" w:rsidR="009B5212" w:rsidRDefault="009B5212" w:rsidP="009B5212">
      <w:pPr>
        <w:spacing w:after="0" w:line="240" w:lineRule="auto"/>
        <w:ind w:left="720" w:hanging="720"/>
        <w:rPr>
          <w:rFonts w:eastAsia="Times New Roman" w:cs="Times New Roman"/>
          <w:szCs w:val="24"/>
          <w:lang w:eastAsia="en-AU"/>
        </w:rPr>
      </w:pPr>
    </w:p>
    <w:p w14:paraId="0BEC6F47" w14:textId="77777777" w:rsidR="0023480E" w:rsidRPr="0023480E" w:rsidRDefault="0023480E" w:rsidP="0023480E"/>
    <w:sectPr w:rsidR="0023480E" w:rsidRPr="0023480E" w:rsidSect="00797952">
      <w:footerReference w:type="default" r:id="rId6"/>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05CB41" w14:textId="77777777" w:rsidR="00995EAE" w:rsidRDefault="00995EAE" w:rsidP="001D6FCE">
      <w:pPr>
        <w:spacing w:after="0" w:line="240" w:lineRule="auto"/>
      </w:pPr>
      <w:r>
        <w:separator/>
      </w:r>
    </w:p>
  </w:endnote>
  <w:endnote w:type="continuationSeparator" w:id="0">
    <w:p w14:paraId="617F877B" w14:textId="77777777" w:rsidR="00995EAE" w:rsidRDefault="00995EAE" w:rsidP="001D6F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76700961"/>
      <w:docPartObj>
        <w:docPartGallery w:val="Page Numbers (Bottom of Page)"/>
        <w:docPartUnique/>
      </w:docPartObj>
    </w:sdtPr>
    <w:sdtEndPr>
      <w:rPr>
        <w:noProof/>
      </w:rPr>
    </w:sdtEndPr>
    <w:sdtContent>
      <w:p w14:paraId="54668B7C" w14:textId="77777777" w:rsidR="00797952" w:rsidRDefault="0079795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D01ED22" w14:textId="77777777" w:rsidR="00797952" w:rsidRDefault="007979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4365D6" w14:textId="77777777" w:rsidR="00995EAE" w:rsidRDefault="00995EAE" w:rsidP="001D6FCE">
      <w:pPr>
        <w:spacing w:after="0" w:line="240" w:lineRule="auto"/>
      </w:pPr>
      <w:r>
        <w:separator/>
      </w:r>
    </w:p>
  </w:footnote>
  <w:footnote w:type="continuationSeparator" w:id="0">
    <w:p w14:paraId="57863BC3" w14:textId="77777777" w:rsidR="00995EAE" w:rsidRDefault="00995EAE" w:rsidP="001D6FC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AF6"/>
    <w:rsid w:val="00017B32"/>
    <w:rsid w:val="00021AAC"/>
    <w:rsid w:val="00035D54"/>
    <w:rsid w:val="00042C4C"/>
    <w:rsid w:val="000464F5"/>
    <w:rsid w:val="0005135B"/>
    <w:rsid w:val="00087E53"/>
    <w:rsid w:val="000910E8"/>
    <w:rsid w:val="000A06FE"/>
    <w:rsid w:val="000A6462"/>
    <w:rsid w:val="000B1B57"/>
    <w:rsid w:val="000B1EEB"/>
    <w:rsid w:val="000B57BA"/>
    <w:rsid w:val="000B60B8"/>
    <w:rsid w:val="000C0E7E"/>
    <w:rsid w:val="000E481C"/>
    <w:rsid w:val="000E506E"/>
    <w:rsid w:val="0010323F"/>
    <w:rsid w:val="00114BDA"/>
    <w:rsid w:val="00120602"/>
    <w:rsid w:val="0018420C"/>
    <w:rsid w:val="00195E03"/>
    <w:rsid w:val="00196C38"/>
    <w:rsid w:val="001A2F14"/>
    <w:rsid w:val="001B453C"/>
    <w:rsid w:val="001C704E"/>
    <w:rsid w:val="001D06C7"/>
    <w:rsid w:val="001D6FCE"/>
    <w:rsid w:val="001D7958"/>
    <w:rsid w:val="001E0D4E"/>
    <w:rsid w:val="00202DD6"/>
    <w:rsid w:val="0020501F"/>
    <w:rsid w:val="00205CD3"/>
    <w:rsid w:val="00206813"/>
    <w:rsid w:val="00206D03"/>
    <w:rsid w:val="00213B86"/>
    <w:rsid w:val="002174FE"/>
    <w:rsid w:val="002208F7"/>
    <w:rsid w:val="0023005B"/>
    <w:rsid w:val="002321BE"/>
    <w:rsid w:val="00232768"/>
    <w:rsid w:val="0023480E"/>
    <w:rsid w:val="00261864"/>
    <w:rsid w:val="00271EB7"/>
    <w:rsid w:val="0027321C"/>
    <w:rsid w:val="002930C1"/>
    <w:rsid w:val="002949BB"/>
    <w:rsid w:val="002B03D3"/>
    <w:rsid w:val="002E0C8E"/>
    <w:rsid w:val="002E0EA5"/>
    <w:rsid w:val="002E210F"/>
    <w:rsid w:val="002E78FA"/>
    <w:rsid w:val="002F59F0"/>
    <w:rsid w:val="002F6AB3"/>
    <w:rsid w:val="003025AF"/>
    <w:rsid w:val="00313695"/>
    <w:rsid w:val="00324466"/>
    <w:rsid w:val="003255BD"/>
    <w:rsid w:val="00335965"/>
    <w:rsid w:val="00361414"/>
    <w:rsid w:val="0036673E"/>
    <w:rsid w:val="003706BE"/>
    <w:rsid w:val="00374136"/>
    <w:rsid w:val="003900CD"/>
    <w:rsid w:val="00394A38"/>
    <w:rsid w:val="003963D5"/>
    <w:rsid w:val="003A6900"/>
    <w:rsid w:val="003C74F4"/>
    <w:rsid w:val="00400A60"/>
    <w:rsid w:val="00405824"/>
    <w:rsid w:val="00411438"/>
    <w:rsid w:val="00413F77"/>
    <w:rsid w:val="004155BD"/>
    <w:rsid w:val="00420329"/>
    <w:rsid w:val="0042059B"/>
    <w:rsid w:val="004217B3"/>
    <w:rsid w:val="00422B0B"/>
    <w:rsid w:val="00435231"/>
    <w:rsid w:val="00437E5E"/>
    <w:rsid w:val="00450227"/>
    <w:rsid w:val="00451DF5"/>
    <w:rsid w:val="00452695"/>
    <w:rsid w:val="00454FAE"/>
    <w:rsid w:val="0046564E"/>
    <w:rsid w:val="00465B3C"/>
    <w:rsid w:val="00467FD8"/>
    <w:rsid w:val="00481324"/>
    <w:rsid w:val="00485EFD"/>
    <w:rsid w:val="00492925"/>
    <w:rsid w:val="00493A16"/>
    <w:rsid w:val="00493C13"/>
    <w:rsid w:val="004A2242"/>
    <w:rsid w:val="004D67A6"/>
    <w:rsid w:val="004E5B66"/>
    <w:rsid w:val="004F0EC9"/>
    <w:rsid w:val="004F78BE"/>
    <w:rsid w:val="00507259"/>
    <w:rsid w:val="0051439F"/>
    <w:rsid w:val="005412F5"/>
    <w:rsid w:val="00543A2F"/>
    <w:rsid w:val="00547A4D"/>
    <w:rsid w:val="00562B91"/>
    <w:rsid w:val="00571BC6"/>
    <w:rsid w:val="00575568"/>
    <w:rsid w:val="00585EDD"/>
    <w:rsid w:val="00594A27"/>
    <w:rsid w:val="005A3B51"/>
    <w:rsid w:val="005D221B"/>
    <w:rsid w:val="005D3731"/>
    <w:rsid w:val="005D783D"/>
    <w:rsid w:val="005E7F3F"/>
    <w:rsid w:val="006000DB"/>
    <w:rsid w:val="0060080C"/>
    <w:rsid w:val="00607136"/>
    <w:rsid w:val="0061385F"/>
    <w:rsid w:val="00620033"/>
    <w:rsid w:val="006210D6"/>
    <w:rsid w:val="00622783"/>
    <w:rsid w:val="006239FB"/>
    <w:rsid w:val="0062401C"/>
    <w:rsid w:val="0063574F"/>
    <w:rsid w:val="00635E52"/>
    <w:rsid w:val="006543FF"/>
    <w:rsid w:val="00693B6A"/>
    <w:rsid w:val="006B1B63"/>
    <w:rsid w:val="006B5854"/>
    <w:rsid w:val="006B6C56"/>
    <w:rsid w:val="006C146B"/>
    <w:rsid w:val="006D401D"/>
    <w:rsid w:val="006E6A0F"/>
    <w:rsid w:val="00716808"/>
    <w:rsid w:val="00757F76"/>
    <w:rsid w:val="00762BF8"/>
    <w:rsid w:val="00780E6E"/>
    <w:rsid w:val="00787442"/>
    <w:rsid w:val="00797952"/>
    <w:rsid w:val="007A3707"/>
    <w:rsid w:val="007A3DC3"/>
    <w:rsid w:val="007B0867"/>
    <w:rsid w:val="007C5CFF"/>
    <w:rsid w:val="007C62B1"/>
    <w:rsid w:val="007D3C4C"/>
    <w:rsid w:val="008242F3"/>
    <w:rsid w:val="00836F46"/>
    <w:rsid w:val="0084610E"/>
    <w:rsid w:val="00861C1C"/>
    <w:rsid w:val="008626EC"/>
    <w:rsid w:val="00873C68"/>
    <w:rsid w:val="00875693"/>
    <w:rsid w:val="00884B4F"/>
    <w:rsid w:val="0089417D"/>
    <w:rsid w:val="008A56D1"/>
    <w:rsid w:val="008B4D9F"/>
    <w:rsid w:val="008C1625"/>
    <w:rsid w:val="008C544B"/>
    <w:rsid w:val="008D10CA"/>
    <w:rsid w:val="008D3F1F"/>
    <w:rsid w:val="008F6DCF"/>
    <w:rsid w:val="009020E5"/>
    <w:rsid w:val="0092229F"/>
    <w:rsid w:val="00924422"/>
    <w:rsid w:val="00924480"/>
    <w:rsid w:val="0092656F"/>
    <w:rsid w:val="0092663E"/>
    <w:rsid w:val="0094005E"/>
    <w:rsid w:val="009403F6"/>
    <w:rsid w:val="00943CF6"/>
    <w:rsid w:val="00946E12"/>
    <w:rsid w:val="00995EAE"/>
    <w:rsid w:val="009B32E6"/>
    <w:rsid w:val="009B5212"/>
    <w:rsid w:val="009D22F3"/>
    <w:rsid w:val="009D6A01"/>
    <w:rsid w:val="009D73F2"/>
    <w:rsid w:val="009F07F8"/>
    <w:rsid w:val="009F14C0"/>
    <w:rsid w:val="00A0326E"/>
    <w:rsid w:val="00A04DDF"/>
    <w:rsid w:val="00A23E24"/>
    <w:rsid w:val="00A321B9"/>
    <w:rsid w:val="00A51954"/>
    <w:rsid w:val="00A73755"/>
    <w:rsid w:val="00A82FA7"/>
    <w:rsid w:val="00A84D79"/>
    <w:rsid w:val="00A8687D"/>
    <w:rsid w:val="00A94A3D"/>
    <w:rsid w:val="00AA5E6D"/>
    <w:rsid w:val="00AC48FA"/>
    <w:rsid w:val="00AD1C8E"/>
    <w:rsid w:val="00AD353E"/>
    <w:rsid w:val="00AF1A45"/>
    <w:rsid w:val="00AF4CFF"/>
    <w:rsid w:val="00AF7937"/>
    <w:rsid w:val="00B13C5F"/>
    <w:rsid w:val="00B24576"/>
    <w:rsid w:val="00B25276"/>
    <w:rsid w:val="00B321B2"/>
    <w:rsid w:val="00B33207"/>
    <w:rsid w:val="00B35DCA"/>
    <w:rsid w:val="00B67171"/>
    <w:rsid w:val="00B73F54"/>
    <w:rsid w:val="00B77498"/>
    <w:rsid w:val="00BB4E5A"/>
    <w:rsid w:val="00BB51DB"/>
    <w:rsid w:val="00BB6EC7"/>
    <w:rsid w:val="00BC1B3A"/>
    <w:rsid w:val="00BC374D"/>
    <w:rsid w:val="00BD167C"/>
    <w:rsid w:val="00BD6015"/>
    <w:rsid w:val="00BE3CC8"/>
    <w:rsid w:val="00BE417E"/>
    <w:rsid w:val="00BE46B8"/>
    <w:rsid w:val="00BF2A13"/>
    <w:rsid w:val="00C0295D"/>
    <w:rsid w:val="00C30364"/>
    <w:rsid w:val="00C309E5"/>
    <w:rsid w:val="00C311C1"/>
    <w:rsid w:val="00C5292D"/>
    <w:rsid w:val="00C547D1"/>
    <w:rsid w:val="00C635C4"/>
    <w:rsid w:val="00C64313"/>
    <w:rsid w:val="00C75AA8"/>
    <w:rsid w:val="00C82AD9"/>
    <w:rsid w:val="00C83D00"/>
    <w:rsid w:val="00C853FC"/>
    <w:rsid w:val="00CB1227"/>
    <w:rsid w:val="00CC0264"/>
    <w:rsid w:val="00CC3B45"/>
    <w:rsid w:val="00CD084E"/>
    <w:rsid w:val="00CD28CB"/>
    <w:rsid w:val="00CE18CD"/>
    <w:rsid w:val="00CE266C"/>
    <w:rsid w:val="00CF563D"/>
    <w:rsid w:val="00CF623D"/>
    <w:rsid w:val="00D02143"/>
    <w:rsid w:val="00D12F26"/>
    <w:rsid w:val="00D24371"/>
    <w:rsid w:val="00D262A4"/>
    <w:rsid w:val="00D33DE8"/>
    <w:rsid w:val="00D36D78"/>
    <w:rsid w:val="00D50AF6"/>
    <w:rsid w:val="00D566B3"/>
    <w:rsid w:val="00D62CC0"/>
    <w:rsid w:val="00D834F4"/>
    <w:rsid w:val="00D92A32"/>
    <w:rsid w:val="00D96ABC"/>
    <w:rsid w:val="00DA24F4"/>
    <w:rsid w:val="00DC2C32"/>
    <w:rsid w:val="00DD02C8"/>
    <w:rsid w:val="00DD1352"/>
    <w:rsid w:val="00DF3818"/>
    <w:rsid w:val="00E00085"/>
    <w:rsid w:val="00E20828"/>
    <w:rsid w:val="00E35940"/>
    <w:rsid w:val="00E4580E"/>
    <w:rsid w:val="00E510A0"/>
    <w:rsid w:val="00E612E8"/>
    <w:rsid w:val="00E676DE"/>
    <w:rsid w:val="00E736CF"/>
    <w:rsid w:val="00E76433"/>
    <w:rsid w:val="00E82508"/>
    <w:rsid w:val="00E8251D"/>
    <w:rsid w:val="00E8436F"/>
    <w:rsid w:val="00EA5CDF"/>
    <w:rsid w:val="00EE6E1F"/>
    <w:rsid w:val="00EF64B2"/>
    <w:rsid w:val="00F01C7B"/>
    <w:rsid w:val="00F062C2"/>
    <w:rsid w:val="00F1466A"/>
    <w:rsid w:val="00F16646"/>
    <w:rsid w:val="00F174E4"/>
    <w:rsid w:val="00F31B4D"/>
    <w:rsid w:val="00F409F6"/>
    <w:rsid w:val="00F46536"/>
    <w:rsid w:val="00F51E22"/>
    <w:rsid w:val="00F62B29"/>
    <w:rsid w:val="00F7172A"/>
    <w:rsid w:val="00FA1312"/>
    <w:rsid w:val="00FC3BF7"/>
    <w:rsid w:val="00FE0DCD"/>
    <w:rsid w:val="00FE2091"/>
    <w:rsid w:val="00FF0429"/>
    <w:rsid w:val="00FF570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A89846"/>
  <w15:chartTrackingRefBased/>
  <w15:docId w15:val="{436C007C-F0DA-46A4-9B0E-9B05BFBDC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F14C0"/>
    <w:rPr>
      <w:rFonts w:ascii="Garamond" w:hAnsi="Garamond"/>
      <w:sz w:val="24"/>
    </w:rPr>
  </w:style>
  <w:style w:type="paragraph" w:styleId="Heading1">
    <w:name w:val="heading 1"/>
    <w:basedOn w:val="Normal"/>
    <w:next w:val="Normal"/>
    <w:link w:val="Heading1Char"/>
    <w:uiPriority w:val="9"/>
    <w:qFormat/>
    <w:rsid w:val="009F14C0"/>
    <w:pPr>
      <w:keepNext/>
      <w:keepLines/>
      <w:spacing w:before="240" w:after="0" w:line="360" w:lineRule="auto"/>
      <w:jc w:val="both"/>
      <w:outlineLvl w:val="0"/>
    </w:pPr>
    <w:rPr>
      <w:rFonts w:eastAsiaTheme="majorEastAsia" w:cstheme="majorBidi"/>
      <w:color w:val="595959" w:themeColor="text1" w:themeTint="A6"/>
      <w:sz w:val="32"/>
      <w:szCs w:val="32"/>
    </w:rPr>
  </w:style>
  <w:style w:type="paragraph" w:styleId="Heading2">
    <w:name w:val="heading 2"/>
    <w:basedOn w:val="Normal"/>
    <w:next w:val="Normal"/>
    <w:link w:val="Heading2Char"/>
    <w:uiPriority w:val="9"/>
    <w:semiHidden/>
    <w:unhideWhenUsed/>
    <w:qFormat/>
    <w:rsid w:val="000B1EEB"/>
    <w:pPr>
      <w:keepNext/>
      <w:keepLines/>
      <w:spacing w:before="40" w:after="0" w:line="240" w:lineRule="auto"/>
      <w:ind w:firstLine="720"/>
      <w:jc w:val="both"/>
      <w:outlineLvl w:val="1"/>
    </w:pPr>
    <w:rPr>
      <w:rFonts w:eastAsiaTheme="majorEastAsia" w:cstheme="majorBidi"/>
      <w:color w:val="7F7F7F" w:themeColor="text1" w:themeTint="80"/>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14C0"/>
    <w:rPr>
      <w:rFonts w:ascii="Garamond" w:eastAsiaTheme="majorEastAsia" w:hAnsi="Garamond" w:cstheme="majorBidi"/>
      <w:color w:val="595959" w:themeColor="text1" w:themeTint="A6"/>
      <w:sz w:val="32"/>
      <w:szCs w:val="32"/>
    </w:rPr>
  </w:style>
  <w:style w:type="character" w:customStyle="1" w:styleId="Heading2Char">
    <w:name w:val="Heading 2 Char"/>
    <w:basedOn w:val="DefaultParagraphFont"/>
    <w:link w:val="Heading2"/>
    <w:uiPriority w:val="9"/>
    <w:semiHidden/>
    <w:rsid w:val="000B1EEB"/>
    <w:rPr>
      <w:rFonts w:ascii="Garamond" w:eastAsiaTheme="majorEastAsia" w:hAnsi="Garamond" w:cstheme="majorBidi"/>
      <w:color w:val="7F7F7F" w:themeColor="text1" w:themeTint="80"/>
      <w:sz w:val="26"/>
      <w:szCs w:val="26"/>
    </w:rPr>
  </w:style>
  <w:style w:type="paragraph" w:styleId="Title">
    <w:name w:val="Title"/>
    <w:basedOn w:val="Normal"/>
    <w:next w:val="Normal"/>
    <w:link w:val="TitleChar"/>
    <w:autoRedefine/>
    <w:uiPriority w:val="10"/>
    <w:qFormat/>
    <w:rsid w:val="00E676DE"/>
    <w:pPr>
      <w:spacing w:after="0" w:line="240" w:lineRule="auto"/>
      <w:contextualSpacing/>
      <w:jc w:val="center"/>
    </w:pPr>
    <w:rPr>
      <w:rFonts w:eastAsiaTheme="majorEastAsia" w:cstheme="majorBidi"/>
      <w:i/>
      <w:spacing w:val="-10"/>
      <w:kern w:val="28"/>
      <w:sz w:val="72"/>
      <w:szCs w:val="68"/>
    </w:rPr>
  </w:style>
  <w:style w:type="character" w:customStyle="1" w:styleId="TitleChar">
    <w:name w:val="Title Char"/>
    <w:basedOn w:val="DefaultParagraphFont"/>
    <w:link w:val="Title"/>
    <w:uiPriority w:val="10"/>
    <w:rsid w:val="00E676DE"/>
    <w:rPr>
      <w:rFonts w:ascii="Garamond" w:eastAsiaTheme="majorEastAsia" w:hAnsi="Garamond" w:cstheme="majorBidi"/>
      <w:i/>
      <w:spacing w:val="-10"/>
      <w:kern w:val="28"/>
      <w:sz w:val="72"/>
      <w:szCs w:val="68"/>
    </w:rPr>
  </w:style>
  <w:style w:type="paragraph" w:styleId="Subtitle">
    <w:name w:val="Subtitle"/>
    <w:basedOn w:val="Normal"/>
    <w:next w:val="Normal"/>
    <w:link w:val="SubtitleChar"/>
    <w:uiPriority w:val="11"/>
    <w:qFormat/>
    <w:rsid w:val="000B1EEB"/>
    <w:pPr>
      <w:numPr>
        <w:ilvl w:val="1"/>
      </w:numPr>
      <w:spacing w:line="360" w:lineRule="auto"/>
      <w:ind w:firstLine="720"/>
    </w:pPr>
    <w:rPr>
      <w:rFonts w:eastAsiaTheme="minorEastAsia"/>
      <w:i/>
      <w:color w:val="5A5A5A" w:themeColor="text1" w:themeTint="A5"/>
      <w:spacing w:val="15"/>
    </w:rPr>
  </w:style>
  <w:style w:type="character" w:customStyle="1" w:styleId="SubtitleChar">
    <w:name w:val="Subtitle Char"/>
    <w:basedOn w:val="DefaultParagraphFont"/>
    <w:link w:val="Subtitle"/>
    <w:uiPriority w:val="11"/>
    <w:rsid w:val="000B1EEB"/>
    <w:rPr>
      <w:rFonts w:ascii="Garamond" w:eastAsiaTheme="minorEastAsia" w:hAnsi="Garamond"/>
      <w:i/>
      <w:color w:val="5A5A5A" w:themeColor="text1" w:themeTint="A5"/>
      <w:spacing w:val="15"/>
    </w:rPr>
  </w:style>
  <w:style w:type="paragraph" w:styleId="Header">
    <w:name w:val="header"/>
    <w:basedOn w:val="Normal"/>
    <w:link w:val="HeaderChar"/>
    <w:uiPriority w:val="99"/>
    <w:unhideWhenUsed/>
    <w:rsid w:val="001D6FC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D6FCE"/>
    <w:rPr>
      <w:rFonts w:ascii="Garamond" w:hAnsi="Garamond"/>
      <w:sz w:val="24"/>
    </w:rPr>
  </w:style>
  <w:style w:type="paragraph" w:styleId="Footer">
    <w:name w:val="footer"/>
    <w:basedOn w:val="Normal"/>
    <w:link w:val="FooterChar"/>
    <w:uiPriority w:val="99"/>
    <w:unhideWhenUsed/>
    <w:rsid w:val="001D6FC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D6FCE"/>
    <w:rPr>
      <w:rFonts w:ascii="Garamond" w:hAnsi="Garamond"/>
      <w:sz w:val="24"/>
    </w:rPr>
  </w:style>
  <w:style w:type="paragraph" w:styleId="NoSpacing">
    <w:name w:val="No Spacing"/>
    <w:uiPriority w:val="1"/>
    <w:qFormat/>
    <w:rsid w:val="000464F5"/>
    <w:pPr>
      <w:spacing w:after="0" w:line="240" w:lineRule="auto"/>
    </w:pPr>
    <w:rPr>
      <w:rFonts w:ascii="Garamond" w:hAnsi="Garamond"/>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995085">
      <w:bodyDiv w:val="1"/>
      <w:marLeft w:val="0"/>
      <w:marRight w:val="0"/>
      <w:marTop w:val="0"/>
      <w:marBottom w:val="0"/>
      <w:divBdr>
        <w:top w:val="none" w:sz="0" w:space="0" w:color="auto"/>
        <w:left w:val="none" w:sz="0" w:space="0" w:color="auto"/>
        <w:bottom w:val="none" w:sz="0" w:space="0" w:color="auto"/>
        <w:right w:val="none" w:sz="0" w:space="0" w:color="auto"/>
      </w:divBdr>
    </w:div>
    <w:div w:id="116141752">
      <w:bodyDiv w:val="1"/>
      <w:marLeft w:val="0"/>
      <w:marRight w:val="0"/>
      <w:marTop w:val="0"/>
      <w:marBottom w:val="0"/>
      <w:divBdr>
        <w:top w:val="none" w:sz="0" w:space="0" w:color="auto"/>
        <w:left w:val="none" w:sz="0" w:space="0" w:color="auto"/>
        <w:bottom w:val="none" w:sz="0" w:space="0" w:color="auto"/>
        <w:right w:val="none" w:sz="0" w:space="0" w:color="auto"/>
      </w:divBdr>
    </w:div>
    <w:div w:id="340474136">
      <w:bodyDiv w:val="1"/>
      <w:marLeft w:val="0"/>
      <w:marRight w:val="0"/>
      <w:marTop w:val="0"/>
      <w:marBottom w:val="0"/>
      <w:divBdr>
        <w:top w:val="none" w:sz="0" w:space="0" w:color="auto"/>
        <w:left w:val="none" w:sz="0" w:space="0" w:color="auto"/>
        <w:bottom w:val="none" w:sz="0" w:space="0" w:color="auto"/>
        <w:right w:val="none" w:sz="0" w:space="0" w:color="auto"/>
      </w:divBdr>
    </w:div>
    <w:div w:id="372728593">
      <w:bodyDiv w:val="1"/>
      <w:marLeft w:val="0"/>
      <w:marRight w:val="0"/>
      <w:marTop w:val="0"/>
      <w:marBottom w:val="0"/>
      <w:divBdr>
        <w:top w:val="none" w:sz="0" w:space="0" w:color="auto"/>
        <w:left w:val="none" w:sz="0" w:space="0" w:color="auto"/>
        <w:bottom w:val="none" w:sz="0" w:space="0" w:color="auto"/>
        <w:right w:val="none" w:sz="0" w:space="0" w:color="auto"/>
      </w:divBdr>
    </w:div>
    <w:div w:id="484316444">
      <w:bodyDiv w:val="1"/>
      <w:marLeft w:val="0"/>
      <w:marRight w:val="0"/>
      <w:marTop w:val="0"/>
      <w:marBottom w:val="0"/>
      <w:divBdr>
        <w:top w:val="none" w:sz="0" w:space="0" w:color="auto"/>
        <w:left w:val="none" w:sz="0" w:space="0" w:color="auto"/>
        <w:bottom w:val="none" w:sz="0" w:space="0" w:color="auto"/>
        <w:right w:val="none" w:sz="0" w:space="0" w:color="auto"/>
      </w:divBdr>
    </w:div>
    <w:div w:id="686371924">
      <w:bodyDiv w:val="1"/>
      <w:marLeft w:val="0"/>
      <w:marRight w:val="0"/>
      <w:marTop w:val="0"/>
      <w:marBottom w:val="0"/>
      <w:divBdr>
        <w:top w:val="none" w:sz="0" w:space="0" w:color="auto"/>
        <w:left w:val="none" w:sz="0" w:space="0" w:color="auto"/>
        <w:bottom w:val="none" w:sz="0" w:space="0" w:color="auto"/>
        <w:right w:val="none" w:sz="0" w:space="0" w:color="auto"/>
      </w:divBdr>
    </w:div>
    <w:div w:id="701706359">
      <w:bodyDiv w:val="1"/>
      <w:marLeft w:val="0"/>
      <w:marRight w:val="0"/>
      <w:marTop w:val="0"/>
      <w:marBottom w:val="0"/>
      <w:divBdr>
        <w:top w:val="none" w:sz="0" w:space="0" w:color="auto"/>
        <w:left w:val="none" w:sz="0" w:space="0" w:color="auto"/>
        <w:bottom w:val="none" w:sz="0" w:space="0" w:color="auto"/>
        <w:right w:val="none" w:sz="0" w:space="0" w:color="auto"/>
      </w:divBdr>
    </w:div>
    <w:div w:id="797531891">
      <w:bodyDiv w:val="1"/>
      <w:marLeft w:val="0"/>
      <w:marRight w:val="0"/>
      <w:marTop w:val="0"/>
      <w:marBottom w:val="0"/>
      <w:divBdr>
        <w:top w:val="none" w:sz="0" w:space="0" w:color="auto"/>
        <w:left w:val="none" w:sz="0" w:space="0" w:color="auto"/>
        <w:bottom w:val="none" w:sz="0" w:space="0" w:color="auto"/>
        <w:right w:val="none" w:sz="0" w:space="0" w:color="auto"/>
      </w:divBdr>
    </w:div>
    <w:div w:id="887381980">
      <w:bodyDiv w:val="1"/>
      <w:marLeft w:val="0"/>
      <w:marRight w:val="0"/>
      <w:marTop w:val="0"/>
      <w:marBottom w:val="0"/>
      <w:divBdr>
        <w:top w:val="none" w:sz="0" w:space="0" w:color="auto"/>
        <w:left w:val="none" w:sz="0" w:space="0" w:color="auto"/>
        <w:bottom w:val="none" w:sz="0" w:space="0" w:color="auto"/>
        <w:right w:val="none" w:sz="0" w:space="0" w:color="auto"/>
      </w:divBdr>
    </w:div>
    <w:div w:id="922181676">
      <w:bodyDiv w:val="1"/>
      <w:marLeft w:val="0"/>
      <w:marRight w:val="0"/>
      <w:marTop w:val="0"/>
      <w:marBottom w:val="0"/>
      <w:divBdr>
        <w:top w:val="none" w:sz="0" w:space="0" w:color="auto"/>
        <w:left w:val="none" w:sz="0" w:space="0" w:color="auto"/>
        <w:bottom w:val="none" w:sz="0" w:space="0" w:color="auto"/>
        <w:right w:val="none" w:sz="0" w:space="0" w:color="auto"/>
      </w:divBdr>
    </w:div>
    <w:div w:id="1033112365">
      <w:bodyDiv w:val="1"/>
      <w:marLeft w:val="0"/>
      <w:marRight w:val="0"/>
      <w:marTop w:val="0"/>
      <w:marBottom w:val="0"/>
      <w:divBdr>
        <w:top w:val="none" w:sz="0" w:space="0" w:color="auto"/>
        <w:left w:val="none" w:sz="0" w:space="0" w:color="auto"/>
        <w:bottom w:val="none" w:sz="0" w:space="0" w:color="auto"/>
        <w:right w:val="none" w:sz="0" w:space="0" w:color="auto"/>
      </w:divBdr>
    </w:div>
    <w:div w:id="1118330808">
      <w:bodyDiv w:val="1"/>
      <w:marLeft w:val="0"/>
      <w:marRight w:val="0"/>
      <w:marTop w:val="0"/>
      <w:marBottom w:val="0"/>
      <w:divBdr>
        <w:top w:val="none" w:sz="0" w:space="0" w:color="auto"/>
        <w:left w:val="none" w:sz="0" w:space="0" w:color="auto"/>
        <w:bottom w:val="none" w:sz="0" w:space="0" w:color="auto"/>
        <w:right w:val="none" w:sz="0" w:space="0" w:color="auto"/>
      </w:divBdr>
    </w:div>
    <w:div w:id="1138766129">
      <w:bodyDiv w:val="1"/>
      <w:marLeft w:val="0"/>
      <w:marRight w:val="0"/>
      <w:marTop w:val="0"/>
      <w:marBottom w:val="0"/>
      <w:divBdr>
        <w:top w:val="none" w:sz="0" w:space="0" w:color="auto"/>
        <w:left w:val="none" w:sz="0" w:space="0" w:color="auto"/>
        <w:bottom w:val="none" w:sz="0" w:space="0" w:color="auto"/>
        <w:right w:val="none" w:sz="0" w:space="0" w:color="auto"/>
      </w:divBdr>
    </w:div>
    <w:div w:id="1163543134">
      <w:bodyDiv w:val="1"/>
      <w:marLeft w:val="0"/>
      <w:marRight w:val="0"/>
      <w:marTop w:val="0"/>
      <w:marBottom w:val="0"/>
      <w:divBdr>
        <w:top w:val="none" w:sz="0" w:space="0" w:color="auto"/>
        <w:left w:val="none" w:sz="0" w:space="0" w:color="auto"/>
        <w:bottom w:val="none" w:sz="0" w:space="0" w:color="auto"/>
        <w:right w:val="none" w:sz="0" w:space="0" w:color="auto"/>
      </w:divBdr>
    </w:div>
    <w:div w:id="1208880547">
      <w:bodyDiv w:val="1"/>
      <w:marLeft w:val="0"/>
      <w:marRight w:val="0"/>
      <w:marTop w:val="0"/>
      <w:marBottom w:val="0"/>
      <w:divBdr>
        <w:top w:val="none" w:sz="0" w:space="0" w:color="auto"/>
        <w:left w:val="none" w:sz="0" w:space="0" w:color="auto"/>
        <w:bottom w:val="none" w:sz="0" w:space="0" w:color="auto"/>
        <w:right w:val="none" w:sz="0" w:space="0" w:color="auto"/>
      </w:divBdr>
    </w:div>
    <w:div w:id="1241406541">
      <w:bodyDiv w:val="1"/>
      <w:marLeft w:val="0"/>
      <w:marRight w:val="0"/>
      <w:marTop w:val="0"/>
      <w:marBottom w:val="0"/>
      <w:divBdr>
        <w:top w:val="none" w:sz="0" w:space="0" w:color="auto"/>
        <w:left w:val="none" w:sz="0" w:space="0" w:color="auto"/>
        <w:bottom w:val="none" w:sz="0" w:space="0" w:color="auto"/>
        <w:right w:val="none" w:sz="0" w:space="0" w:color="auto"/>
      </w:divBdr>
    </w:div>
    <w:div w:id="1386638075">
      <w:bodyDiv w:val="1"/>
      <w:marLeft w:val="0"/>
      <w:marRight w:val="0"/>
      <w:marTop w:val="0"/>
      <w:marBottom w:val="0"/>
      <w:divBdr>
        <w:top w:val="none" w:sz="0" w:space="0" w:color="auto"/>
        <w:left w:val="none" w:sz="0" w:space="0" w:color="auto"/>
        <w:bottom w:val="none" w:sz="0" w:space="0" w:color="auto"/>
        <w:right w:val="none" w:sz="0" w:space="0" w:color="auto"/>
      </w:divBdr>
    </w:div>
    <w:div w:id="1532953923">
      <w:bodyDiv w:val="1"/>
      <w:marLeft w:val="0"/>
      <w:marRight w:val="0"/>
      <w:marTop w:val="0"/>
      <w:marBottom w:val="0"/>
      <w:divBdr>
        <w:top w:val="none" w:sz="0" w:space="0" w:color="auto"/>
        <w:left w:val="none" w:sz="0" w:space="0" w:color="auto"/>
        <w:bottom w:val="none" w:sz="0" w:space="0" w:color="auto"/>
        <w:right w:val="none" w:sz="0" w:space="0" w:color="auto"/>
      </w:divBdr>
    </w:div>
    <w:div w:id="1620988874">
      <w:bodyDiv w:val="1"/>
      <w:marLeft w:val="0"/>
      <w:marRight w:val="0"/>
      <w:marTop w:val="0"/>
      <w:marBottom w:val="0"/>
      <w:divBdr>
        <w:top w:val="none" w:sz="0" w:space="0" w:color="auto"/>
        <w:left w:val="none" w:sz="0" w:space="0" w:color="auto"/>
        <w:bottom w:val="none" w:sz="0" w:space="0" w:color="auto"/>
        <w:right w:val="none" w:sz="0" w:space="0" w:color="auto"/>
      </w:divBdr>
    </w:div>
    <w:div w:id="1759130291">
      <w:bodyDiv w:val="1"/>
      <w:marLeft w:val="0"/>
      <w:marRight w:val="0"/>
      <w:marTop w:val="0"/>
      <w:marBottom w:val="0"/>
      <w:divBdr>
        <w:top w:val="none" w:sz="0" w:space="0" w:color="auto"/>
        <w:left w:val="none" w:sz="0" w:space="0" w:color="auto"/>
        <w:bottom w:val="none" w:sz="0" w:space="0" w:color="auto"/>
        <w:right w:val="none" w:sz="0" w:space="0" w:color="auto"/>
      </w:divBdr>
    </w:div>
    <w:div w:id="1795560745">
      <w:bodyDiv w:val="1"/>
      <w:marLeft w:val="0"/>
      <w:marRight w:val="0"/>
      <w:marTop w:val="0"/>
      <w:marBottom w:val="0"/>
      <w:divBdr>
        <w:top w:val="none" w:sz="0" w:space="0" w:color="auto"/>
        <w:left w:val="none" w:sz="0" w:space="0" w:color="auto"/>
        <w:bottom w:val="none" w:sz="0" w:space="0" w:color="auto"/>
        <w:right w:val="none" w:sz="0" w:space="0" w:color="auto"/>
      </w:divBdr>
    </w:div>
    <w:div w:id="1890342332">
      <w:bodyDiv w:val="1"/>
      <w:marLeft w:val="0"/>
      <w:marRight w:val="0"/>
      <w:marTop w:val="0"/>
      <w:marBottom w:val="0"/>
      <w:divBdr>
        <w:top w:val="none" w:sz="0" w:space="0" w:color="auto"/>
        <w:left w:val="none" w:sz="0" w:space="0" w:color="auto"/>
        <w:bottom w:val="none" w:sz="0" w:space="0" w:color="auto"/>
        <w:right w:val="none" w:sz="0" w:space="0" w:color="auto"/>
      </w:divBdr>
    </w:div>
    <w:div w:id="1920556316">
      <w:bodyDiv w:val="1"/>
      <w:marLeft w:val="0"/>
      <w:marRight w:val="0"/>
      <w:marTop w:val="0"/>
      <w:marBottom w:val="0"/>
      <w:divBdr>
        <w:top w:val="none" w:sz="0" w:space="0" w:color="auto"/>
        <w:left w:val="none" w:sz="0" w:space="0" w:color="auto"/>
        <w:bottom w:val="none" w:sz="0" w:space="0" w:color="auto"/>
        <w:right w:val="none" w:sz="0" w:space="0" w:color="auto"/>
      </w:divBdr>
    </w:div>
    <w:div w:id="2048408013">
      <w:bodyDiv w:val="1"/>
      <w:marLeft w:val="0"/>
      <w:marRight w:val="0"/>
      <w:marTop w:val="0"/>
      <w:marBottom w:val="0"/>
      <w:divBdr>
        <w:top w:val="none" w:sz="0" w:space="0" w:color="auto"/>
        <w:left w:val="none" w:sz="0" w:space="0" w:color="auto"/>
        <w:bottom w:val="none" w:sz="0" w:space="0" w:color="auto"/>
        <w:right w:val="none" w:sz="0" w:space="0" w:color="auto"/>
      </w:divBdr>
    </w:div>
    <w:div w:id="2053992132">
      <w:bodyDiv w:val="1"/>
      <w:marLeft w:val="0"/>
      <w:marRight w:val="0"/>
      <w:marTop w:val="0"/>
      <w:marBottom w:val="0"/>
      <w:divBdr>
        <w:top w:val="none" w:sz="0" w:space="0" w:color="auto"/>
        <w:left w:val="none" w:sz="0" w:space="0" w:color="auto"/>
        <w:bottom w:val="none" w:sz="0" w:space="0" w:color="auto"/>
        <w:right w:val="none" w:sz="0" w:space="0" w:color="auto"/>
      </w:divBdr>
    </w:div>
    <w:div w:id="2102750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690</TotalTime>
  <Pages>17</Pages>
  <Words>6443</Words>
  <Characters>36728</Characters>
  <Application>Microsoft Office Word</Application>
  <DocSecurity>0</DocSecurity>
  <Lines>306</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Alessandra Prunotto</dc:creator>
  <cp:keywords/>
  <dc:description/>
  <cp:lastModifiedBy>Alessandra Prunotto</cp:lastModifiedBy>
  <cp:revision>243</cp:revision>
  <dcterms:created xsi:type="dcterms:W3CDTF">2018-10-29T00:04:00Z</dcterms:created>
  <dcterms:modified xsi:type="dcterms:W3CDTF">2018-10-30T04:30:00Z</dcterms:modified>
</cp:coreProperties>
</file>